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</w:rPr>
      </w:pPr>
      <w:bookmarkStart w:id="0" w:name="_GoBack"/>
      <w:r>
        <w:rPr>
          <w:rFonts w:hint="eastAsia"/>
          <w:b/>
          <w:bCs/>
          <w:sz w:val="44"/>
          <w:szCs w:val="44"/>
        </w:rPr>
        <w:t>山东省人事考试成绩复核申请表</w:t>
      </w:r>
    </w:p>
    <w:bookmarkEnd w:id="0"/>
    <w:p>
      <w:pPr>
        <w:rPr>
          <w:rFonts w:hint="eastAsia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591"/>
        <w:gridCol w:w="2865"/>
        <w:gridCol w:w="1485"/>
        <w:gridCol w:w="30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75" w:hRule="atLeast"/>
        </w:trPr>
        <w:tc>
          <w:tcPr>
            <w:tcW w:w="159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考生姓名</w:t>
            </w:r>
          </w:p>
        </w:tc>
        <w:tc>
          <w:tcPr>
            <w:tcW w:w="286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304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75" w:hRule="atLeast"/>
        </w:trPr>
        <w:tc>
          <w:tcPr>
            <w:tcW w:w="159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考试名称</w:t>
            </w:r>
          </w:p>
        </w:tc>
        <w:tc>
          <w:tcPr>
            <w:tcW w:w="286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笔试所在考区</w:t>
            </w:r>
          </w:p>
        </w:tc>
        <w:tc>
          <w:tcPr>
            <w:tcW w:w="304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75" w:hRule="atLeast"/>
        </w:trPr>
        <w:tc>
          <w:tcPr>
            <w:tcW w:w="159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准考证号</w:t>
            </w:r>
          </w:p>
        </w:tc>
        <w:tc>
          <w:tcPr>
            <w:tcW w:w="286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04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75" w:hRule="atLeast"/>
        </w:trPr>
        <w:tc>
          <w:tcPr>
            <w:tcW w:w="159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申请复核科目</w:t>
            </w:r>
          </w:p>
        </w:tc>
        <w:tc>
          <w:tcPr>
            <w:tcW w:w="286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科目成绩</w:t>
            </w:r>
          </w:p>
        </w:tc>
        <w:tc>
          <w:tcPr>
            <w:tcW w:w="304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75" w:hRule="atLeast"/>
        </w:trPr>
        <w:tc>
          <w:tcPr>
            <w:tcW w:w="159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报考岗位</w:t>
            </w:r>
          </w:p>
        </w:tc>
        <w:tc>
          <w:tcPr>
            <w:tcW w:w="7394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73" w:hRule="atLeast"/>
        </w:trPr>
        <w:tc>
          <w:tcPr>
            <w:tcW w:w="159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申请复核原因</w:t>
            </w:r>
          </w:p>
        </w:tc>
        <w:tc>
          <w:tcPr>
            <w:tcW w:w="7394" w:type="dxa"/>
            <w:gridSpan w:val="3"/>
            <w:vAlign w:val="center"/>
          </w:tcPr>
          <w:p>
            <w:pPr>
              <w:ind w:firstLine="21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口零分</w:t>
            </w:r>
          </w:p>
          <w:p>
            <w:pPr>
              <w:jc w:val="both"/>
              <w:rPr>
                <w:rFonts w:hint="eastAsia"/>
              </w:rPr>
            </w:pPr>
          </w:p>
          <w:p>
            <w:pPr>
              <w:ind w:firstLine="21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口缺考</w:t>
            </w:r>
          </w:p>
          <w:p>
            <w:pPr>
              <w:jc w:val="both"/>
              <w:rPr>
                <w:rFonts w:hint="eastAsia"/>
              </w:rPr>
            </w:pPr>
          </w:p>
          <w:p>
            <w:pPr>
              <w:ind w:firstLine="21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口违纪违规</w:t>
            </w:r>
          </w:p>
          <w:p>
            <w:pPr>
              <w:jc w:val="both"/>
              <w:rPr>
                <w:rFonts w:hint="eastAsia"/>
              </w:rPr>
            </w:pPr>
          </w:p>
          <w:p>
            <w:pPr>
              <w:ind w:firstLine="210" w:firstLineChars="100"/>
              <w:jc w:val="both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口答卷卷面分数合计和成绩登录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本人已知晓并同意所申请考试的成绩复核办法:成绩复核只限于零分、缺考、违纪违规、答卷卷面分数合计和成绩登录是否有误，不对试卷进行重新评阅。考生估分高低、主观题评分宽严尺度不在复核受理范围之内。不在成绩复核范围内的申请不予受理。对同一考生的同一考试科目，复核申请只受理一次，复核后的成绩即为最终成绩。考后试题、答卷，标准答案、评分标准，阅卷质量管控标准，成绩分析数据、个人成绩构成及有关视频监控录像不对考生提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5040" w:firstLineChars="21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考生本人签字: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960" w:firstLineChars="29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日</w:t>
      </w:r>
    </w:p>
    <w:p/>
    <w:sectPr>
      <w:pgSz w:w="11906" w:h="16838"/>
      <w:pgMar w:top="1440" w:right="1519" w:bottom="1440" w:left="1576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643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2022-12-01T09:28:35Z</dcterms:created>
  <dc:creator>Administrator</dc:creator>
  <cp:lastModifiedBy>Administrator</cp:lastModifiedBy>
  <dcterms:modified xsi:type="dcterms:W3CDTF">2022-12-01T09:38:51Z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98499706F0E14BCCBCFE35283BC62DB1</vt:lpwstr>
  </property>
</Properties>
</file>