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淄博市人力资源和社会保障局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CN"/>
        </w:rPr>
        <w:t>年政府信息公开工作年度报告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i w:val="0"/>
          <w:caps w:val="0"/>
          <w:color w:val="3D3D3D"/>
          <w:spacing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根据市政府工作要求，结合全年人力资源社会保障工作情况，现将我局20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年政府信息公开工作年度报告向社会公布。报告内容主要分为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部分，时间自20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年1月1日至12月31日。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关于我局政府信息公开工作详细情况，请联系市人力资源和社会保障局政府信息公开领导小组办公室（地址：淄博市张店区联通路202号，邮编：255000，电话：2868790，邮箱zbsrsjbgs@zb.shandong.cn）。 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  <w:t>一、总体情况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年，市人力资源社会保障局认真贯彻落实《中华人民共和国政府信息公开条例》、《山东省政府信息公开办法》有关规定和市政府有关工作部署，围绕经济社会发展和民生保障重点工作，通过传统媒介和新媒体方式，及时主动、准确全面公开了就业保障等相关政府信息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，不断推进我局信息公开工作发展，对社会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各界掌握最新人社信息、推进全市经济社会发展起到了积极的作用。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055" cy="5001895"/>
            <wp:effectExtent l="0" t="0" r="10795" b="8255"/>
            <wp:docPr id="10" name="图片 10" descr="1_3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3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</w:rPr>
        <w:t>主动公开情况。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2020年，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市人力资源社会保障局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认真落实相关规定要求，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主动公开相关政府信息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4493条，涵盖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人社工作各个方面。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贯彻“应公开尽公开”的原则，不断扩大公开范围，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主动公开办公会议、政府工作报告执行情况、重点工作推进落实、督查发现问题及整改落实情况、双随机一公开等信息。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按时办理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人大代表建议、政协委员提案共27件，其中人大代表建议6件、政协委员提案21件，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采取登门拜访、召开座谈会、实地调研等方式积极主动与代表委员沟通联系，充分了解代表委员意图，扎实开展工作调研，提出办理意见，按时完成答复工作。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9865" cy="5461635"/>
            <wp:effectExtent l="0" t="0" r="6985" b="5715"/>
            <wp:docPr id="11" name="图片 11" descr="4_7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_7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3675" cy="7195185"/>
            <wp:effectExtent l="0" t="0" r="3175" b="5715"/>
            <wp:docPr id="12" name="图片 12" descr="56合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合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color w:val="auto"/>
          <w:kern w:val="2"/>
          <w:sz w:val="32"/>
          <w:szCs w:val="32"/>
          <w:u w:val="none"/>
          <w:lang w:val="en-US" w:eastAsia="zh-CN" w:bidi="ar-SA"/>
        </w:rPr>
        <w:t>（二）依申请公开情况。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20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年，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市人力资源社会保障局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通过在线渠道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共收到政府信息公开申请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件，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全部及时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办结，按照申请人要求公开答复并提供相关信息，此过程中无收费情况。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平时对各类来人来电咨询业务，能够做到热情服务，当场答复，及时高效处理，无行政复议和诉讼情况。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drawing>
          <wp:inline distT="0" distB="0" distL="114300" distR="114300">
            <wp:extent cx="5269230" cy="7369175"/>
            <wp:effectExtent l="0" t="0" r="7620" b="3175"/>
            <wp:docPr id="5" name="图片 5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color w:val="auto"/>
          <w:kern w:val="2"/>
          <w:sz w:val="32"/>
          <w:szCs w:val="32"/>
          <w:u w:val="none"/>
          <w:lang w:val="en-US" w:eastAsia="zh-CN" w:bidi="ar-SA"/>
        </w:rPr>
        <w:t>(三)政府信息管理情况。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积极完善政府信息公开制度，认真修订局《政府信息公开实施办法》，规范信息发布的范围和程序。及时发布政府信息公开指南和主动公开基本目录，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围绕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就业创业、社会保障、人才队伍、人事制度、收入分配、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劳动关系、公共服务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等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重点工作领域，加强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信息公开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工作指导。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drawing>
          <wp:inline distT="0" distB="0" distL="114300" distR="114300">
            <wp:extent cx="5269865" cy="7035165"/>
            <wp:effectExtent l="0" t="0" r="6985" b="13335"/>
            <wp:docPr id="2" name="图片 2" descr="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color w:val="auto"/>
          <w:kern w:val="2"/>
          <w:sz w:val="32"/>
          <w:szCs w:val="32"/>
          <w:u w:val="none"/>
          <w:lang w:val="en-US" w:eastAsia="zh-CN" w:bidi="ar-SA"/>
        </w:rPr>
        <w:t>（四）平台建设情况。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在市政府门户网站设立了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市人力资源和社会保障局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政府信息公开专栏，主动公布信息公开目录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shd w:val="clear" w:fill="FFFFFF"/>
        </w:rPr>
        <w:t>和信息公开指南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。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eastAsia="zh-CN"/>
        </w:rPr>
        <w:t>充分发挥传统媒体作用，同时成立新媒体工作室，运维政务微博和微信公众号，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不断拓宽信息公开渠道。</w:t>
      </w:r>
      <w:r>
        <w:rPr>
          <w:rFonts w:hint="eastAsia" w:ascii="仿宋_GB2312" w:hAnsi="微软雅黑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全年在政府网站公开2866条，政务微博公开117条,政务微信公开731条，新闻媒体方式公开779条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337810" cy="3336290"/>
            <wp:effectExtent l="0" t="0" r="15240" b="1651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337810" cy="3336290"/>
            <wp:effectExtent l="0" t="0" r="15240" b="1651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  <w:lang w:val="en-US" w:eastAsia="zh-CN"/>
        </w:rPr>
        <w:t>（五）监督保障情况。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结合市政府工作要求和局工作实际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及时修改完善我局《信息公开实施办法》。根据全市机构改革情况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结合市人力资源和社会保障局工作职能，及时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调整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局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政务公开领导小组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定期对信息公开的内容进行监督检查，确保及时全面，准确翔实。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根据工作计划，适时组织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政务公开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业务学习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  <w:t>培训。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成立新媒体工作室，积极拓宽信息公开渠道。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2019年度在政务公开评估考核中位列全市第四名。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398135" cy="5073650"/>
            <wp:effectExtent l="0" t="0" r="12065" b="12700"/>
            <wp:docPr id="9" name="图片 9" descr="光影魔术手拼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光影魔术手拼图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  <w:t>主动公开政府信息情况</w:t>
      </w:r>
    </w:p>
    <w:tbl>
      <w:tblPr>
        <w:tblStyle w:val="3"/>
        <w:tblW w:w="842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1939"/>
        <w:gridCol w:w="2711"/>
        <w:gridCol w:w="136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84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93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"/>
              </w:rPr>
              <w:t>制作数量</w:t>
            </w:r>
          </w:p>
        </w:tc>
        <w:tc>
          <w:tcPr>
            <w:tcW w:w="2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br w:type="textWrapping"/>
            </w:r>
            <w:r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"/>
              </w:rPr>
              <w:t>公开数量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对外公开总数量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规章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规范性文件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2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8428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93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2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行政许可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其他对外管理服务事项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155</w:t>
            </w:r>
          </w:p>
        </w:tc>
        <w:tc>
          <w:tcPr>
            <w:tcW w:w="2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697582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8428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2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行政处罚</w:t>
            </w:r>
          </w:p>
        </w:tc>
        <w:tc>
          <w:tcPr>
            <w:tcW w:w="193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271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1366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行政强制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4</w:t>
            </w:r>
            <w:bookmarkStart w:id="0" w:name="_GoBack"/>
            <w:bookmarkEnd w:id="0"/>
          </w:p>
        </w:tc>
        <w:tc>
          <w:tcPr>
            <w:tcW w:w="2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3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8428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上一年项目数量</w:t>
            </w:r>
          </w:p>
        </w:tc>
        <w:tc>
          <w:tcPr>
            <w:tcW w:w="4077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行政事业性收费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206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eastAsia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jc w:val="center"/>
        </w:trPr>
        <w:tc>
          <w:tcPr>
            <w:tcW w:w="8428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  <w:jc w:val="center"/>
        </w:trPr>
        <w:tc>
          <w:tcPr>
            <w:tcW w:w="24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采购项目数量</w:t>
            </w:r>
          </w:p>
        </w:tc>
        <w:tc>
          <w:tcPr>
            <w:tcW w:w="4077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政府集中采购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4077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宋体" w:eastAsia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sz w:val="20"/>
                <w:szCs w:val="20"/>
                <w:lang w:val="en-US" w:eastAsia="zh-CN"/>
              </w:rPr>
              <w:t>600.19281万元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caps w:val="0"/>
          <w:color w:val="3D3D3D"/>
          <w:spacing w:val="0"/>
          <w:sz w:val="32"/>
          <w:szCs w:val="32"/>
        </w:rPr>
        <w:t>收到和处理政府信息公开申请情况</w:t>
      </w:r>
    </w:p>
    <w:tbl>
      <w:tblPr>
        <w:tblStyle w:val="3"/>
        <w:tblpPr w:leftFromText="180" w:rightFromText="180" w:vertAnchor="text" w:horzAnchor="page" w:tblpX="1955" w:tblpY="734"/>
        <w:tblOverlap w:val="never"/>
        <w:tblW w:w="8322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870"/>
        <w:gridCol w:w="2265"/>
        <w:gridCol w:w="626"/>
        <w:gridCol w:w="664"/>
        <w:gridCol w:w="720"/>
        <w:gridCol w:w="720"/>
        <w:gridCol w:w="720"/>
        <w:gridCol w:w="690"/>
        <w:gridCol w:w="6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57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4747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575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2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自然人</w:t>
            </w:r>
          </w:p>
        </w:tc>
        <w:tc>
          <w:tcPr>
            <w:tcW w:w="351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法人或其他组织</w:t>
            </w:r>
          </w:p>
        </w:tc>
        <w:tc>
          <w:tcPr>
            <w:tcW w:w="607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7" w:hRule="atLeast"/>
        </w:trPr>
        <w:tc>
          <w:tcPr>
            <w:tcW w:w="3575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商业企业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科研机构</w:t>
            </w:r>
          </w:p>
        </w:tc>
        <w:tc>
          <w:tcPr>
            <w:tcW w:w="7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社会公益组织</w:t>
            </w:r>
          </w:p>
        </w:tc>
        <w:tc>
          <w:tcPr>
            <w:tcW w:w="7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法律服务机构</w:t>
            </w:r>
          </w:p>
        </w:tc>
        <w:tc>
          <w:tcPr>
            <w:tcW w:w="6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</w:tc>
        <w:tc>
          <w:tcPr>
            <w:tcW w:w="607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57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357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三、本年度办理结果</w:t>
            </w:r>
          </w:p>
        </w:tc>
        <w:tc>
          <w:tcPr>
            <w:tcW w:w="313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（一）予以公开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（二）部分公开（区分处理的，只计这一情形，不计其他情形）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（三）不予公开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1.属于国家秘密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2.其他法律行政法规禁止公开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3.危及“三安全一稳定”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4.保护第三方合法权益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5.属于三类内部事务信息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6.属于四类过程性信息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7.属于行政执法案卷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8.属于行政查询事项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（四）无法提供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1.本机关不掌握相关政府信息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2.没有现成信息需要另行制作</w:t>
            </w:r>
          </w:p>
        </w:tc>
        <w:tc>
          <w:tcPr>
            <w:tcW w:w="626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3.补正后申请内容仍不明确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（五）不予处理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1.信访举报投诉类申请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2.重复申请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3.要求提供公开出版物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4.无正当理由大量反复申请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（六）其他处理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13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（七）总计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3575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四、结转下年度继续办理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</w:pPr>
      <w:r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  <w:lang w:eastAsia="zh-CN"/>
        </w:rPr>
        <w:t>四、</w:t>
      </w:r>
      <w:r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  <w:t>政府信息公开行政复议、行政诉讼情况</w:t>
      </w:r>
    </w:p>
    <w:tbl>
      <w:tblPr>
        <w:tblStyle w:val="3"/>
        <w:tblpPr w:leftFromText="180" w:rightFromText="180" w:vertAnchor="text" w:horzAnchor="page" w:tblpX="1985" w:tblpY="289"/>
        <w:tblOverlap w:val="never"/>
        <w:tblW w:w="8659" w:type="dxa"/>
        <w:tblInd w:w="0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575"/>
        <w:gridCol w:w="575"/>
        <w:gridCol w:w="575"/>
        <w:gridCol w:w="634"/>
        <w:gridCol w:w="524"/>
        <w:gridCol w:w="576"/>
        <w:gridCol w:w="576"/>
        <w:gridCol w:w="576"/>
        <w:gridCol w:w="583"/>
        <w:gridCol w:w="576"/>
        <w:gridCol w:w="576"/>
        <w:gridCol w:w="576"/>
        <w:gridCol w:w="577"/>
        <w:gridCol w:w="58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93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行政复议</w:t>
            </w:r>
          </w:p>
        </w:tc>
        <w:tc>
          <w:tcPr>
            <w:tcW w:w="5725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575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57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63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283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未经复议直接起诉</w:t>
            </w:r>
          </w:p>
        </w:tc>
        <w:tc>
          <w:tcPr>
            <w:tcW w:w="289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75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75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7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3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5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5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5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5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结果纠正</w:t>
            </w:r>
          </w:p>
        </w:tc>
        <w:tc>
          <w:tcPr>
            <w:tcW w:w="5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其他结果</w:t>
            </w:r>
          </w:p>
        </w:tc>
        <w:tc>
          <w:tcPr>
            <w:tcW w:w="57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尚未审结</w:t>
            </w:r>
          </w:p>
        </w:tc>
        <w:tc>
          <w:tcPr>
            <w:tcW w:w="5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57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5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ind w:firstLine="200" w:firstLineChars="100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</w:pPr>
      <w:r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  <w:lang w:eastAsia="zh-CN"/>
        </w:rPr>
        <w:t>五、</w:t>
      </w:r>
      <w:r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  <w:t>存在的主要问题及改进情况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640" w:firstLineChars="200"/>
        <w:jc w:val="both"/>
        <w:textAlignment w:val="auto"/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  <w:lang w:eastAsia="zh-CN"/>
        </w:rPr>
        <w:t>工作中存在的主要问题：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val="en-US" w:eastAsia="zh-CN"/>
        </w:rPr>
        <w:t>1.信息公开意识有待加强。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个别科室和单位信息公开的意识有待加强，对应该公开的内容把握不准，部分信息公开不够及时，缺乏时效性。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val="en-US" w:eastAsia="zh-CN"/>
        </w:rPr>
        <w:t>2.政策解读标准不高。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对需要解读的文件范围把握不准确，解读比例偏低，解读形式比较单一。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Chars="200" w:right="0" w:rightChars="0"/>
        <w:jc w:val="both"/>
        <w:textAlignment w:val="auto"/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</w:rPr>
      </w:pPr>
      <w:r>
        <w:rPr>
          <w:rFonts w:hint="eastAsia" w:ascii="楷体" w:hAnsi="楷体" w:eastAsia="楷体" w:cs="楷体"/>
          <w:b w:val="0"/>
          <w:color w:val="auto"/>
          <w:sz w:val="32"/>
          <w:szCs w:val="32"/>
          <w:u w:val="none"/>
          <w:lang w:val="en-US" w:eastAsia="zh-CN"/>
        </w:rPr>
        <w:t>下步改进措施：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val="en-US" w:eastAsia="zh-CN"/>
        </w:rPr>
        <w:t>1.进一步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eastAsia="zh-CN"/>
        </w:rPr>
        <w:t>完善政府信息公开制度。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结合各科室、单位的职责任务和主动公开目录，出台工作规范，对政府信息公开的公开内容、公开流程和公开要求进一步进行规范，使具体工作更加规范，程序更加严谨，便于实际操作。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val="en-US" w:eastAsia="zh-CN"/>
        </w:rPr>
        <w:t>2.强化公开意识，提高业务能力。</w:t>
      </w: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  <w:t>通过组织学习、授课辅导、组织检查、下发通报等方式，进一步强化工作人员的公开意识，提高业务能力，为做好政府信息公开工作奠定良好基础。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</w:pPr>
      <w:r>
        <w:rPr>
          <w:rFonts w:hint="eastAsia" w:ascii="黑体" w:hAnsi="黑体" w:eastAsia="黑体" w:cs="黑体"/>
          <w:b w:val="0"/>
          <w:color w:val="auto"/>
          <w:sz w:val="32"/>
          <w:szCs w:val="32"/>
          <w:u w:val="none"/>
        </w:rPr>
        <w:t>六、其他需要报告的事项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  <w:lang w:eastAsia="zh-CN"/>
        </w:rPr>
        <w:t>无。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color w:val="auto"/>
          <w:sz w:val="32"/>
          <w:szCs w:val="32"/>
          <w:u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B42AF0"/>
    <w:multiLevelType w:val="singleLevel"/>
    <w:tmpl w:val="8FB42A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482627"/>
    <w:multiLevelType w:val="singleLevel"/>
    <w:tmpl w:val="53482627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429C8"/>
    <w:rsid w:val="01167AFF"/>
    <w:rsid w:val="026774C4"/>
    <w:rsid w:val="028E660D"/>
    <w:rsid w:val="02E67A07"/>
    <w:rsid w:val="06AE2322"/>
    <w:rsid w:val="072D2C77"/>
    <w:rsid w:val="096D396A"/>
    <w:rsid w:val="09C1424D"/>
    <w:rsid w:val="0F4C5EDA"/>
    <w:rsid w:val="0F6F2778"/>
    <w:rsid w:val="0FB8606A"/>
    <w:rsid w:val="137F1913"/>
    <w:rsid w:val="140A3B8F"/>
    <w:rsid w:val="17B66DB4"/>
    <w:rsid w:val="180D5871"/>
    <w:rsid w:val="18395933"/>
    <w:rsid w:val="18626CF1"/>
    <w:rsid w:val="1C331357"/>
    <w:rsid w:val="229E03C3"/>
    <w:rsid w:val="22E04ACF"/>
    <w:rsid w:val="230D32C8"/>
    <w:rsid w:val="24110964"/>
    <w:rsid w:val="26056F68"/>
    <w:rsid w:val="27695F48"/>
    <w:rsid w:val="29152A59"/>
    <w:rsid w:val="29B56C5B"/>
    <w:rsid w:val="2A7444E9"/>
    <w:rsid w:val="2CA472DD"/>
    <w:rsid w:val="2FA24D78"/>
    <w:rsid w:val="30CF12FB"/>
    <w:rsid w:val="314D4C6F"/>
    <w:rsid w:val="317A3F11"/>
    <w:rsid w:val="32CA76B6"/>
    <w:rsid w:val="33661398"/>
    <w:rsid w:val="40E3468F"/>
    <w:rsid w:val="41A859C3"/>
    <w:rsid w:val="4534597E"/>
    <w:rsid w:val="45477E99"/>
    <w:rsid w:val="47870682"/>
    <w:rsid w:val="48C23C28"/>
    <w:rsid w:val="48EA398C"/>
    <w:rsid w:val="49607C1E"/>
    <w:rsid w:val="4AAC54CE"/>
    <w:rsid w:val="4BE33E88"/>
    <w:rsid w:val="4FA33C9E"/>
    <w:rsid w:val="51F861F8"/>
    <w:rsid w:val="53F916E1"/>
    <w:rsid w:val="57185677"/>
    <w:rsid w:val="577E5EDD"/>
    <w:rsid w:val="57E64135"/>
    <w:rsid w:val="58700780"/>
    <w:rsid w:val="5B2678FD"/>
    <w:rsid w:val="5B431A51"/>
    <w:rsid w:val="5D3E0EB1"/>
    <w:rsid w:val="5E76410F"/>
    <w:rsid w:val="64DA5E5A"/>
    <w:rsid w:val="67120604"/>
    <w:rsid w:val="6ACC709C"/>
    <w:rsid w:val="6C4F33CA"/>
    <w:rsid w:val="6E454529"/>
    <w:rsid w:val="6F090DFA"/>
    <w:rsid w:val="71F53D17"/>
    <w:rsid w:val="732A236E"/>
    <w:rsid w:val="753B052E"/>
    <w:rsid w:val="760670F5"/>
    <w:rsid w:val="7AC106D3"/>
    <w:rsid w:val="7D3C73E0"/>
    <w:rsid w:val="7DF57B8F"/>
    <w:rsid w:val="7E7B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33333"/>
      <w:u w:val="single"/>
    </w:rPr>
  </w:style>
  <w:style w:type="character" w:styleId="7">
    <w:name w:val="HTML Definition"/>
    <w:basedOn w:val="4"/>
    <w:qFormat/>
    <w:uiPriority w:val="0"/>
    <w:rPr>
      <w:i/>
    </w:rPr>
  </w:style>
  <w:style w:type="character" w:styleId="8">
    <w:name w:val="HTML Acronym"/>
    <w:basedOn w:val="4"/>
    <w:qFormat/>
    <w:uiPriority w:val="0"/>
  </w:style>
  <w:style w:type="character" w:styleId="9">
    <w:name w:val="Hyperlink"/>
    <w:basedOn w:val="4"/>
    <w:qFormat/>
    <w:uiPriority w:val="0"/>
    <w:rPr>
      <w:color w:val="333333"/>
      <w:u w:val="single"/>
    </w:rPr>
  </w:style>
  <w:style w:type="character" w:styleId="10">
    <w:name w:val="HTML Code"/>
    <w:basedOn w:val="4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1">
    <w:name w:val="HTML Keyboard"/>
    <w:basedOn w:val="4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2">
    <w:name w:val="HTML Sample"/>
    <w:basedOn w:val="4"/>
    <w:qFormat/>
    <w:uiPriority w:val="0"/>
    <w:rPr>
      <w:rFonts w:ascii="Consolas" w:hAnsi="Consolas" w:eastAsia="Consolas" w:cs="Consolas"/>
      <w:sz w:val="21"/>
      <w:szCs w:val="21"/>
    </w:rPr>
  </w:style>
  <w:style w:type="character" w:customStyle="1" w:styleId="13">
    <w:name w:val="direct"/>
    <w:basedOn w:val="4"/>
    <w:qFormat/>
    <w:uiPriority w:val="0"/>
  </w:style>
  <w:style w:type="character" w:customStyle="1" w:styleId="14">
    <w:name w:val="wx-space"/>
    <w:basedOn w:val="4"/>
    <w:qFormat/>
    <w:uiPriority w:val="0"/>
  </w:style>
  <w:style w:type="character" w:customStyle="1" w:styleId="15">
    <w:name w:val="wx-space1"/>
    <w:basedOn w:val="4"/>
    <w:qFormat/>
    <w:uiPriority w:val="0"/>
  </w:style>
  <w:style w:type="character" w:customStyle="1" w:styleId="16">
    <w:name w:val="hover9"/>
    <w:basedOn w:val="4"/>
    <w:qFormat/>
    <w:uiPriority w:val="0"/>
    <w:rPr>
      <w:color w:val="00000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刘生</cp:lastModifiedBy>
  <cp:lastPrinted>2020-01-14T03:14:00Z</cp:lastPrinted>
  <dcterms:modified xsi:type="dcterms:W3CDTF">2021-03-01T00:38:20Z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