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人社</w:t>
      </w:r>
      <w:r>
        <w:rPr>
          <w:rFonts w:ascii="Times New Roman" w:hAnsi="Times New Roman" w:eastAsia="仿宋_GB2312"/>
          <w:sz w:val="32"/>
          <w:szCs w:val="32"/>
        </w:rPr>
        <w:t>发〔20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印发《关于开展技能兴淄行动加强新时代技能人才队伍建设的若干措施》的通知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各区县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党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委组织部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人力资源和社会保障局、工业和信息化局、财政局、住房和城乡建设局、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总工会、团委、妇联，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高新区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工委组织人事部、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人社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中心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工业信息化和商务局、财政金融局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、建设局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，经济开发区工委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组织人事部、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工业和科技局、财政局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、建设局、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val="en-US" w:eastAsia="zh-CN"/>
        </w:rPr>
        <w:t>总工会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、团工委、妇工委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，文昌湖省级旅游度假区工委组织人事部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人力资源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和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社会保障局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经济发展局、财政局、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城乡建设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</w:rPr>
        <w:t>局</w:t>
      </w:r>
      <w:r>
        <w:rPr>
          <w:rFonts w:ascii="Times New Roman" w:hAnsi="Times New Roman" w:eastAsia="仿宋_GB2312"/>
          <w:spacing w:val="11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spacing w:val="11"/>
          <w:sz w:val="32"/>
          <w:szCs w:val="32"/>
          <w:u w:val="none"/>
          <w:lang w:eastAsia="zh-CN"/>
        </w:rPr>
        <w:t>总工会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关于开展技能兴淄行动加强新时代技能人才队伍建设的若干措施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》已经市委、市政府研究同意，现印发给你们，请结合实际认真抓好贯彻落实。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中共淄博市委组织部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淄博市人力资源和社会保障局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4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淄博市工业和信息化局           淄博市财政局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4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淄博市住房和城乡建设局         淄博市总工会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中国共产主义青年团淄博市委员会    淄博市妇女联合会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2022年7月26日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sectPr>
          <w:footerReference r:id="rId3" w:type="default"/>
          <w:pgSz w:w="11906" w:h="16838"/>
          <w:pgMar w:top="1701" w:right="1587" w:bottom="1531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开展技能兴淄行动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加强新时代技能人才队伍建设的若干措施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深入贯彻落实习近平总书记关于技能人才工作的重要论述，营造劳动光荣、技能宝贵、创造伟大的良好社会风尚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，培养造就一批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结构合理、技艺精湛、素质优良的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技能人才队伍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精准赋能我市产业发展和品质提升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制定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本措施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加快技能人才集聚发展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高技能人才引领计划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我市企事业单位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全职引进和新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培养的省级及以上高技能领军人才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在国家、省支持资金基础上，市级财政最高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100万元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资金支持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技能英才支持计划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设立“淄博英才计划”（技能领军人才），每年选拔10名左右在生产工艺创新、竞赛成果转化、传技带徒等方面贡献突出的拔尖技能人才，3年支持期内，市级财政每年给予每名入选者个人补助5万元、工作经费5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每年在“四强”产业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新经济新赛道等领域的企业一线选拔淄博市首席技师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名左右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管理期内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给予每人每月800元津贴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各类院校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教育教学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一线、企业生产一线工作人员中，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每两年选拔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20名左右同时具备高级专业技术职称、高级技师职业资格（职业技能等级）的淄博市技术技能大师，市级财政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给予每人2万元津贴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年在各行业发挥骨干作用的高技能人才中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选拔淄博市有突出贡献的技师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名左右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管理期内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给予每人每月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元津贴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对用人单位在人社部门指导下评聘产生的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首席技师、特级技师，优先纳入技能英才支持计划。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责任单位：市委组织部、市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3.柔性引才汇智计划。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对我市企业柔性引进的省级及以上高技能领军人才，协议年度薪酬达到20万元以上的，在协议期内，市级财政每年按照其年度薪酬的20%给予聘任单位薪酬补贴，每人每年最高5万元。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4.“技能新星”集聚计划。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技工院校高级工、预备技师（技师）班毕业生在应征入伍、就业、确定工资起点标准、参加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val="en-US" w:eastAsia="zh-CN"/>
        </w:rPr>
        <w:t>公务员考录、事业单位招聘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、职称评审、职级晋升、租赁或购买人才公寓等方面，分别按大专、本科学历毕业生享受同等待遇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</w:rPr>
        <w:t>毕业五年内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到我市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</w:rPr>
        <w:t>个体工商户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</w:rPr>
        <w:t>新型农业经营主体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全职工作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取得中级工、高级工、预备技师职业资格（职业技能等级）的技工院校全日制毕业生，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分别给予每月300元</w:t>
      </w:r>
      <w:r>
        <w:rPr>
          <w:rFonts w:hint="eastAsia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500元</w:t>
      </w:r>
      <w:r>
        <w:rPr>
          <w:rFonts w:hint="eastAsia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1000元生活补贴，连续发放5年</w:t>
      </w:r>
      <w:r>
        <w:rPr>
          <w:rFonts w:hint="eastAsia" w:ascii="Times New Roman" w:hAnsi="Times New Roman" w:eastAsia="仿宋_GB2312" w:cs="Times New Roman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，市、区县财政各按50%比例承担。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责任单位：市委组织部、淄博军分区动员处、市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局、市住房城乡建设局）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“技能骨干”研修计划。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pacing w:val="0"/>
          <w:kern w:val="2"/>
          <w:sz w:val="32"/>
          <w:szCs w:val="32"/>
          <w:highlight w:val="none"/>
          <w:u w:val="none"/>
          <w:lang w:val="en-US" w:eastAsia="zh-CN"/>
        </w:rPr>
        <w:t>每年在“四强”产业、重点产业链上下游企业一线技术技能岗位选拔40名优秀青年技能人才，输送到国外先进制造业企业和实训基地进行技能提升、技术交流，市级财政按照每人最高10万元标准给予企业补贴。（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6.企业技能带头人培育计划。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新引进新获得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</w:rPr>
        <w:t>技师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</w:rPr>
        <w:t>高级技师职业资格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  <w:lang w:eastAsia="zh-CN"/>
        </w:rPr>
        <w:t>（职业技能等级）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  <w:lang w:eastAsia="zh-CN"/>
        </w:rPr>
        <w:t>企业职工，市级财政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</w:rPr>
        <w:t>分别一次性给予2500元、3000元补贴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每年每家企业职工最高可享受5万元补贴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市财政局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7.企校订单培养计划。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支持企业与各类院校签订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培养协议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订单式技能人才培养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对毕业后全职到订单企业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财政按照每人1万元标准给予订单企业培养补助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二、构建技能人才发展平台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8.支持省级以上技能平台建设发展。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对建成国家级高技能人才培训基地的单位，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财政按照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补助资金的50%给予配套支持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成功创建国家级技能大师工作室、齐鲁技能大师特色工作站、山东省技师工作站的单位，在国家、省支持资金基础上，市级财政分别给予30万元、15万元、10万元建设发展资金。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9.推动市级技能人才平台提质增效。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围绕我市优势特色产业，每年认定淄博市技师工作站5家左右，市级财政给予每家8万元建设发展资金。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每两年对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市级平台项目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运行情况进行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评估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评估优秀的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三、促进技能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培训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与评价融合发展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实施“金蓝领”培训项目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结合我市产业发展需求，开展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金蓝领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培训，每年培训不少于1000人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开展“金蓝领”培训的基地，根据取得高级工、技师、高级技师职业资格（职业技能等级）证书人数，市级财政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按照技师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高级工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）每人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2000元、高级技师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每人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5000元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11.推进中国特色企业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新型学徒制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通过校企合作、工学交替方式，组织企业技能岗位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入职、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转岗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人员参加企业新型学徒制培训，实现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招工即招生、入企即入校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每年培训不少于2000人，市级财政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高级工每人每年最高60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00元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中级工每人每年最高5000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标准，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培训补贴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12.统筹技能提升培训补贴政策。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取得初级（五级）、中级（四级）、高级（三级）职业资格证书或职业技能等级证书，符合条件的人员，可按规定标准申请技能提升补贴。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对自主评价企业开展在岗职工技能培训，按规定给予职业培训补贴。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根据全市产业工人年度培训任务，对开展产业工人技能提升培训的企业，按培训任务完成情况给予适当经费补助。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责任单位：市人力资源社会保障局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市总工会、市财政局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提升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公共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实训能力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围绕战略性新兴产业领域、先进制造业领域、特色优势产业领域、产业基础领域加快推进市级公共实训基地培育建设，每年认定10家左右市级公共实训基地，争创2家左右省级新旧动能转换公共实训基地，对年度绩效评估优秀的3—5家企业公共实训基地给予一次性10万元资金支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产业转型升级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新经济新赛道产业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需要，进一步扩大公共实训规模，每年实训不少于2000人，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财政按照每人650元的标准给予实训基地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实训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责任单位：市工业和信息化局、市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14.全面推进企业自主评价。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健全完善新时代技能人才职业等级制度，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鼓励企业运用多元化评价方式自主开展技能人才评价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。对有效开展自主评价的企业，经评估后市级财政每年给予最高8万元经费支持。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15.畅通技术技能人才双向发展通道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全面实现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高技能人才与专业技术人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职业发展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双向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贯通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培养复合型技术技能人才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符合条件的专业技术人才，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</w:rPr>
        <w:t>可按规定评定相应的职业技能等级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高级工及以上的高技能人才，可按规定参加专业技术职称评审。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四、推动技工教育高质量发展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16.支持淄博市技工教育集团（联盟）创新发展。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推动技工教育与产业深度融合，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实现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校企、校际间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资源共享和优势互补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促进校企合作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多元办学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内涵发展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提高技工院校办学水平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入选全国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技工教育（联盟）集团建设试点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的，市级财政给予依托单位最高200万元经费支持。（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责任单位：市人力资源社会保障局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市财政局、市技师学院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其他成员单位配合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17.助推技工教育载体建设。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市属技工院校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创建国家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省级世界技能大赛集训基地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财政按照国家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省级补助资金的50%给予配套支持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建成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国家级、省级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技工教育优质校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在国家、省支持资金基础上，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00万元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300万元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补助资金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国家级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省级优质专业（群）的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在国家、省支持资金基础上，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财政分别给予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万元补助资金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推进工学一体化教学改革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入选国家、省工学一体化专业试点的，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分别给予专业发展资金100万元、50万元。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18.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强化技工院校师资队伍建设。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对优秀高技能人才，可按国家有关规定直接通过考察的方式公开招聘到技工院校。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市属公办院校通过校企合作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技术服务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社会培训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自办企业等创收净收入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可按照不低于50%的比例用于奖励性绩效工资分配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纳入绩效工资总量管理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责任单位：市委组织部、市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19.加大顶岗实习补贴力度。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对我市技工院校学生到市域内企业顶岗实习，技工院校与实习企业、学生签订顶岗实习三方协议的，市级财政按照每人每学期300元标准给予企业补贴。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责任单位：市人力资源社会保障局、市财政局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五、打造“技能兴淄”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竞赛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20.广泛开展职业技能竞赛。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制定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市职业技能竞赛管理办法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实行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分级分类管理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级竞赛包括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职业技能大赛和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行业职业技能竞赛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全市职业技能大赛每两年举办一次，为市级最高规格综合性竞赛活动。各区县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人力资源社会保障部门建立与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级竞赛相衔接的竞赛管理体系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市有关部门）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21.提高竞赛承办能力。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承办全国职业技能大赛的办赛单位，市级财政给予最高50万元资金支持。对承办全省职业技能大赛的单位，市级财政给予最高20万元支持。对承办全市职业技能大赛的单位，市级财政给予最高10万元支持。资金专项用于大赛筹办、专家裁判等费用支出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22.完善获奖选手奖励机制。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对获得全国技能大赛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金牌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银牌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铜牌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的选手，市级财政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分别给予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奖励。对获得省职业技能大赛金牌、银牌、铜牌的选手,市级财政分别给予10000元、8000元、5000元奖励。对获得市职业技能大赛金牌、银牌、铜牌的选手，市级财政分别给予8000元、5000元、3000元奖励。对获得市级一类竞赛决赛前3名的选手，市级财政分别给予5000元、3000元、2000元奖励；对获得市级二类竞赛决赛第一名的选手，市级财政给予2000元奖励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市财政局会同有关部门负责）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23.建立竞赛荣誉制度。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对获得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市职业技能大赛金牌、银牌、铜牌的职工选手和市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级一类竞赛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决赛前三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市级二类竞赛决赛第一名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的职工选手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符合条件的，可选拔为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淄博市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技术能手”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“淄博市五一劳动标兵”“淄博市青年岗位能手”“淄博市巾帼建功标兵”。纳入市级一类、二类竞赛计划的赛项，竞赛组委会可按一定比例，选拔优秀指导教师（教练）、优秀组织单位、突出贡献单位等。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、市总工会、团市委、市妇联）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六、优化技能人才服务保障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24.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加强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资金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统筹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加大职业技能培训资金支持和筹集整合力度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统筹使用就业补助资金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失业保险基金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专项培训资金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职工教育经费等资金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对技能人才队伍建设给予支持保障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。同一职业（工种）同一等级不重复享受补贴。技能提升补贴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与就业补助资金、职业技能提升行动专账资金列支的职业培训补贴不得同时享受。强化市级资金统筹，市、区县财政按比例承担的项目，先由市级财政垫付，年底通过财政体制结算办理。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县级以上财政部门要在预算中适当安排技能人才培养专项经费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企业要认真落实国家有关规定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足额提取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业职工教育经费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用于一线职工教育和培训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责任单位：市财政局会同有关部门负责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25.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提升技能人才社会地位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推荐高技能领军人才作为各级党代会代表、人大代表、政协委员、团代会代表人选，纳入各级党委联系专家范围。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淄博市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技术技能大师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淄博市首席技师、淄博市有突出贡献的技师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纳入“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淄博精英卡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范围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享受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高层次人才绿色通道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定期组织高技能领军人才休假疗养等活动。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责任单位：市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委组织部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、市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人力资源社会保障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26.强化宣传引导。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组织开展“技能兴淄”暨技能人才队伍建设成果展示活动，全面宣传技能人才培养、使用、评价、激励政策和技能人才队伍建设成果，营造尊重技能人才、崇尚一技之能的良好氛围。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（责任单位：市人力资源社会保障局）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_GB2312" w:cs="仿宋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各有关部门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根据任务分工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制定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相应实施细则，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推进各项任务落实落地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本文件自印发之日起施行，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并根据实施情况及时调整完善。</w:t>
      </w:r>
      <w:r>
        <w:rPr>
          <w:rFonts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此前发布的有关文件规定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与本文件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规定</w:t>
      </w:r>
      <w:r>
        <w:rPr>
          <w:rFonts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不一致的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，以</w:t>
      </w:r>
      <w:r>
        <w:rPr>
          <w:rFonts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本文件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规定为准</w:t>
      </w:r>
      <w:r>
        <w:rPr>
          <w:rFonts w:ascii="Times New Roman" w:hAnsi="Times New Roman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。</w:t>
      </w:r>
      <w:r>
        <w:rPr>
          <w:rFonts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</w:rPr>
        <w:t>市级各类</w:t>
      </w:r>
      <w:r>
        <w:rPr>
          <w:rFonts w:hint="eastAsia"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技能</w:t>
      </w:r>
      <w:r>
        <w:rPr>
          <w:rFonts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</w:rPr>
        <w:t>人才支持资金</w:t>
      </w:r>
      <w:r>
        <w:rPr>
          <w:rFonts w:hint="eastAsia"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</w:rPr>
        <w:t>按照就高不就低的原则</w:t>
      </w:r>
      <w:r>
        <w:rPr>
          <w:rFonts w:hint="eastAsia"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</w:rPr>
        <w:t>不重复享受</w:t>
      </w:r>
      <w:r>
        <w:rPr>
          <w:rFonts w:hint="eastAsia" w:ascii="Times New Roman" w:hAnsi="Times New Roman" w:eastAsia="仿宋_GB2312"/>
          <w:b w:val="0"/>
          <w:bCs w:val="0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sectPr>
      <w:pgSz w:w="11906" w:h="16838"/>
      <w:pgMar w:top="1814" w:right="158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8.1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njw1NUAAAAI&#10;AQAADwAAAGRycy9kb3ducmV2LnhtbE2PzU7DMBCE70i8g7VI3Fo7OZQoxOkBqRIgLk15ADfe/Ah7&#10;HdluU96e5QS33Z3R7DfN/uaduGJMcyANxVaBQOqDnWnU8Hk6bCoQKRuyxgVCDd+YYN/e3zWmtmGl&#10;I167PAoOoVQbDVPOSy1l6if0Jm3DgsTaEKI3mdc4ShvNyuHeyVKpnfRmJv4wmQVfJuy/uovXIE/d&#10;Ya06F1V4L4cP9/Z6HDBo/fhQqGcQGW/5zwy/+IwOLTOdw4VsEk4DF8kaNsWuBMFyWVV8OfPwVFQg&#10;20b+L9D+AFBLAwQUAAAACACHTuJABH4eabgBAABQAwAADgAAAGRycy9lMm9Eb2MueG1srVPNjtMw&#10;EL4j7TtYvlOnFYIS1V2ttNoVEoKVFh7AdZzGkv80dpuUB4A34MSFO8/V52DsJF0EN7SXyYzH/ub7&#10;Ziab68EaclQQtXecLhcVJcpJ32i35/Tzp7uXa0piEq4RxjvF6UlFer29erHpQ61WvvOmUUAQxMW6&#10;D5x2KYWasSg7ZUVc+KAcJlsPViQMYc8aED2iW8NWVfWa9R6aAF6qGPH0dkzSbcFvWyXTx7aNKhHD&#10;KXJLxUKxu2zZdiPqPYjQaTnREP/BwgrtsOgF6lYkQQ6g/4GyWoKPvk0L6S3zbaulKhpQzbL6S81j&#10;J4IqWrA5MVzaFJ8PVn44PgDRDaevqrdvKHHC4pTO37+df/w6//xKlrlDfYg1XnwMDzBFEd0sd2jB&#10;5i8KIUPp6unSVTUkIvFwuV6t1xU2X2JuDhCHPT0PENO98pZkh1PAsZVuiuP7mMar85Vczbhsnb/T&#10;xozZfMIyzZFY9tKwGya2O9+cUCWuKYJ3Hr5Q0uPIOXW4k5SYdw47mrdjdmB2drMjnMSHnCZKDgH0&#10;viublGnEcHNISKXwzIXHahMfHFtROq1Y3os/43Lr6Uf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CePDU1QAAAAgBAAAPAAAAAAAAAAEAIAAAACIAAABkcnMvZG93bnJldi54bWxQSwECFAAUAAAA&#10;CACHTuJABH4eabgBAABQAwAADgAAAAAAAAABACAAAAAk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wYjMyNzYyZTk4YjhkNDdiYTM0OGJlZTBlNmMxODEifQ=="/>
  </w:docVars>
  <w:rsids>
    <w:rsidRoot w:val="00000000"/>
    <w:rsid w:val="00413C8D"/>
    <w:rsid w:val="009E3FD7"/>
    <w:rsid w:val="00CC2AE2"/>
    <w:rsid w:val="00F52393"/>
    <w:rsid w:val="00FA5A37"/>
    <w:rsid w:val="01276B86"/>
    <w:rsid w:val="015C3541"/>
    <w:rsid w:val="018C3739"/>
    <w:rsid w:val="01A82463"/>
    <w:rsid w:val="01A96227"/>
    <w:rsid w:val="01B233CB"/>
    <w:rsid w:val="01BB5446"/>
    <w:rsid w:val="01C54645"/>
    <w:rsid w:val="01DD3C4D"/>
    <w:rsid w:val="01EB0AC2"/>
    <w:rsid w:val="021F5E6E"/>
    <w:rsid w:val="02337182"/>
    <w:rsid w:val="024A2BA2"/>
    <w:rsid w:val="02512BEB"/>
    <w:rsid w:val="026E3D18"/>
    <w:rsid w:val="0276307E"/>
    <w:rsid w:val="02824DFC"/>
    <w:rsid w:val="029C0436"/>
    <w:rsid w:val="02B55752"/>
    <w:rsid w:val="03031491"/>
    <w:rsid w:val="030B0B2A"/>
    <w:rsid w:val="03372ADA"/>
    <w:rsid w:val="033E696D"/>
    <w:rsid w:val="03740830"/>
    <w:rsid w:val="03826775"/>
    <w:rsid w:val="0391479F"/>
    <w:rsid w:val="039842CF"/>
    <w:rsid w:val="03A53B02"/>
    <w:rsid w:val="03B24C65"/>
    <w:rsid w:val="03B60969"/>
    <w:rsid w:val="03DB41BC"/>
    <w:rsid w:val="03DB6BF1"/>
    <w:rsid w:val="03DE4158"/>
    <w:rsid w:val="03E2379C"/>
    <w:rsid w:val="03F434D0"/>
    <w:rsid w:val="042A0CA0"/>
    <w:rsid w:val="049306B1"/>
    <w:rsid w:val="04961780"/>
    <w:rsid w:val="049A4077"/>
    <w:rsid w:val="04DD3FF5"/>
    <w:rsid w:val="04EB3D05"/>
    <w:rsid w:val="05242656"/>
    <w:rsid w:val="052676B9"/>
    <w:rsid w:val="052B762E"/>
    <w:rsid w:val="052D1C63"/>
    <w:rsid w:val="0548762F"/>
    <w:rsid w:val="05800AFA"/>
    <w:rsid w:val="05942F24"/>
    <w:rsid w:val="05A30D0A"/>
    <w:rsid w:val="05E00194"/>
    <w:rsid w:val="060039F5"/>
    <w:rsid w:val="064E5119"/>
    <w:rsid w:val="06656A4E"/>
    <w:rsid w:val="067032E2"/>
    <w:rsid w:val="06804D46"/>
    <w:rsid w:val="06811422"/>
    <w:rsid w:val="06A63272"/>
    <w:rsid w:val="06B15710"/>
    <w:rsid w:val="06BA08FD"/>
    <w:rsid w:val="06C83B4C"/>
    <w:rsid w:val="06E65572"/>
    <w:rsid w:val="072D7E40"/>
    <w:rsid w:val="073301B2"/>
    <w:rsid w:val="0739297D"/>
    <w:rsid w:val="074A6CB3"/>
    <w:rsid w:val="075E0D14"/>
    <w:rsid w:val="07670F76"/>
    <w:rsid w:val="076E5764"/>
    <w:rsid w:val="077046D9"/>
    <w:rsid w:val="07712CCB"/>
    <w:rsid w:val="077966B5"/>
    <w:rsid w:val="079C3C62"/>
    <w:rsid w:val="079E5335"/>
    <w:rsid w:val="07CA29DE"/>
    <w:rsid w:val="07D440A2"/>
    <w:rsid w:val="07EC3E28"/>
    <w:rsid w:val="07EE38CE"/>
    <w:rsid w:val="07F635EA"/>
    <w:rsid w:val="080451B6"/>
    <w:rsid w:val="08107473"/>
    <w:rsid w:val="08184C87"/>
    <w:rsid w:val="081B6C02"/>
    <w:rsid w:val="08202AE5"/>
    <w:rsid w:val="084F7580"/>
    <w:rsid w:val="085A2E15"/>
    <w:rsid w:val="086A6115"/>
    <w:rsid w:val="087B41C0"/>
    <w:rsid w:val="08BC1B60"/>
    <w:rsid w:val="08D72A91"/>
    <w:rsid w:val="08DE0C8C"/>
    <w:rsid w:val="09017BBB"/>
    <w:rsid w:val="091E5E68"/>
    <w:rsid w:val="09436A8B"/>
    <w:rsid w:val="095C5D9F"/>
    <w:rsid w:val="097124DA"/>
    <w:rsid w:val="0972111F"/>
    <w:rsid w:val="09E004CB"/>
    <w:rsid w:val="09F9205B"/>
    <w:rsid w:val="0A1E5F51"/>
    <w:rsid w:val="0A496225"/>
    <w:rsid w:val="0A51342A"/>
    <w:rsid w:val="0A64677B"/>
    <w:rsid w:val="0A7200E8"/>
    <w:rsid w:val="0A786747"/>
    <w:rsid w:val="0A7C24F8"/>
    <w:rsid w:val="0A870BFA"/>
    <w:rsid w:val="0AA55524"/>
    <w:rsid w:val="0AAD0A27"/>
    <w:rsid w:val="0AC1245F"/>
    <w:rsid w:val="0AD81455"/>
    <w:rsid w:val="0AE570C3"/>
    <w:rsid w:val="0AEB24D9"/>
    <w:rsid w:val="0B0B6ACF"/>
    <w:rsid w:val="0B0E29CC"/>
    <w:rsid w:val="0B30531A"/>
    <w:rsid w:val="0B4E1717"/>
    <w:rsid w:val="0B7339D5"/>
    <w:rsid w:val="0B980BE5"/>
    <w:rsid w:val="0BA648D7"/>
    <w:rsid w:val="0BA7431F"/>
    <w:rsid w:val="0BB37338"/>
    <w:rsid w:val="0BB77D4B"/>
    <w:rsid w:val="0BD473B3"/>
    <w:rsid w:val="0BE14C06"/>
    <w:rsid w:val="0C2030B4"/>
    <w:rsid w:val="0C6B7D06"/>
    <w:rsid w:val="0C6E581F"/>
    <w:rsid w:val="0C79551E"/>
    <w:rsid w:val="0C9B098C"/>
    <w:rsid w:val="0CAA3BC3"/>
    <w:rsid w:val="0CB35867"/>
    <w:rsid w:val="0CE70646"/>
    <w:rsid w:val="0CED738A"/>
    <w:rsid w:val="0D042831"/>
    <w:rsid w:val="0D167DE9"/>
    <w:rsid w:val="0D3E5FD5"/>
    <w:rsid w:val="0D4F40DF"/>
    <w:rsid w:val="0D6574AC"/>
    <w:rsid w:val="0D673FC5"/>
    <w:rsid w:val="0D793FF3"/>
    <w:rsid w:val="0D7C5DAF"/>
    <w:rsid w:val="0D82619D"/>
    <w:rsid w:val="0D865942"/>
    <w:rsid w:val="0D904269"/>
    <w:rsid w:val="0DAB0241"/>
    <w:rsid w:val="0DCE30E1"/>
    <w:rsid w:val="0DF90A9C"/>
    <w:rsid w:val="0DFD351B"/>
    <w:rsid w:val="0E394E9A"/>
    <w:rsid w:val="0E442706"/>
    <w:rsid w:val="0E4D3F08"/>
    <w:rsid w:val="0E753CEE"/>
    <w:rsid w:val="0E763967"/>
    <w:rsid w:val="0EA9221E"/>
    <w:rsid w:val="0EC07A7C"/>
    <w:rsid w:val="0EE83C31"/>
    <w:rsid w:val="0EE83D6C"/>
    <w:rsid w:val="0F230706"/>
    <w:rsid w:val="0F35071B"/>
    <w:rsid w:val="0F3A448D"/>
    <w:rsid w:val="0F4A6807"/>
    <w:rsid w:val="0F501F02"/>
    <w:rsid w:val="0F746317"/>
    <w:rsid w:val="0F84375F"/>
    <w:rsid w:val="0FC4644C"/>
    <w:rsid w:val="0FCD1F26"/>
    <w:rsid w:val="0FF20B71"/>
    <w:rsid w:val="0FF2768E"/>
    <w:rsid w:val="0FF33C17"/>
    <w:rsid w:val="0FF63667"/>
    <w:rsid w:val="10276D47"/>
    <w:rsid w:val="102E38C6"/>
    <w:rsid w:val="104028C1"/>
    <w:rsid w:val="10727C56"/>
    <w:rsid w:val="107B1071"/>
    <w:rsid w:val="1088747A"/>
    <w:rsid w:val="10A232A6"/>
    <w:rsid w:val="10BC79EC"/>
    <w:rsid w:val="10C77FA2"/>
    <w:rsid w:val="10F21A6C"/>
    <w:rsid w:val="10F71BD9"/>
    <w:rsid w:val="10FF62B7"/>
    <w:rsid w:val="112F350B"/>
    <w:rsid w:val="114E4C2F"/>
    <w:rsid w:val="115D4462"/>
    <w:rsid w:val="116A5FC9"/>
    <w:rsid w:val="116E2B13"/>
    <w:rsid w:val="117D70DE"/>
    <w:rsid w:val="11802572"/>
    <w:rsid w:val="118142A2"/>
    <w:rsid w:val="118C3BB9"/>
    <w:rsid w:val="118E286E"/>
    <w:rsid w:val="11A741AB"/>
    <w:rsid w:val="11A94C93"/>
    <w:rsid w:val="11B76268"/>
    <w:rsid w:val="11CE7C29"/>
    <w:rsid w:val="11E44B84"/>
    <w:rsid w:val="11F72B09"/>
    <w:rsid w:val="12565880"/>
    <w:rsid w:val="126E4993"/>
    <w:rsid w:val="1296760A"/>
    <w:rsid w:val="12B409FA"/>
    <w:rsid w:val="12BF43D9"/>
    <w:rsid w:val="12E979AC"/>
    <w:rsid w:val="12EE5628"/>
    <w:rsid w:val="12F07EBA"/>
    <w:rsid w:val="12FD3F19"/>
    <w:rsid w:val="1339702E"/>
    <w:rsid w:val="133E5D9A"/>
    <w:rsid w:val="13433B2C"/>
    <w:rsid w:val="134358DA"/>
    <w:rsid w:val="1384445B"/>
    <w:rsid w:val="138F4DED"/>
    <w:rsid w:val="13916645"/>
    <w:rsid w:val="139A1726"/>
    <w:rsid w:val="13DD7ADC"/>
    <w:rsid w:val="13DF1AA7"/>
    <w:rsid w:val="13DF4E4B"/>
    <w:rsid w:val="14096B23"/>
    <w:rsid w:val="14340B18"/>
    <w:rsid w:val="14353F12"/>
    <w:rsid w:val="14355008"/>
    <w:rsid w:val="144E1818"/>
    <w:rsid w:val="14720225"/>
    <w:rsid w:val="1492727F"/>
    <w:rsid w:val="14B93252"/>
    <w:rsid w:val="14BF1C9A"/>
    <w:rsid w:val="14D33502"/>
    <w:rsid w:val="14EF1875"/>
    <w:rsid w:val="14F36412"/>
    <w:rsid w:val="150C3ADB"/>
    <w:rsid w:val="15101F62"/>
    <w:rsid w:val="151C38B9"/>
    <w:rsid w:val="15207E98"/>
    <w:rsid w:val="153F53B0"/>
    <w:rsid w:val="1540409F"/>
    <w:rsid w:val="154340B5"/>
    <w:rsid w:val="154F7C8B"/>
    <w:rsid w:val="155B282E"/>
    <w:rsid w:val="157E709D"/>
    <w:rsid w:val="157F1E14"/>
    <w:rsid w:val="159E5D84"/>
    <w:rsid w:val="15A90003"/>
    <w:rsid w:val="15AA7E92"/>
    <w:rsid w:val="160D5CB1"/>
    <w:rsid w:val="161C7002"/>
    <w:rsid w:val="1632480C"/>
    <w:rsid w:val="164C0089"/>
    <w:rsid w:val="16573B76"/>
    <w:rsid w:val="165C4EA2"/>
    <w:rsid w:val="167F0EBF"/>
    <w:rsid w:val="1686478D"/>
    <w:rsid w:val="16CB0DE0"/>
    <w:rsid w:val="16E724FD"/>
    <w:rsid w:val="170E514F"/>
    <w:rsid w:val="172570D4"/>
    <w:rsid w:val="17294F49"/>
    <w:rsid w:val="173C4172"/>
    <w:rsid w:val="173D2C0B"/>
    <w:rsid w:val="174D0B23"/>
    <w:rsid w:val="176761CB"/>
    <w:rsid w:val="177B3894"/>
    <w:rsid w:val="177C3466"/>
    <w:rsid w:val="178831D7"/>
    <w:rsid w:val="17923CC6"/>
    <w:rsid w:val="17A14798"/>
    <w:rsid w:val="17C15DBB"/>
    <w:rsid w:val="17C36FE9"/>
    <w:rsid w:val="17C70B5C"/>
    <w:rsid w:val="17CA7BD4"/>
    <w:rsid w:val="17D44495"/>
    <w:rsid w:val="17F92A0B"/>
    <w:rsid w:val="18106DDD"/>
    <w:rsid w:val="18293A23"/>
    <w:rsid w:val="182E28D9"/>
    <w:rsid w:val="18363EE3"/>
    <w:rsid w:val="183D103F"/>
    <w:rsid w:val="18400815"/>
    <w:rsid w:val="186113EE"/>
    <w:rsid w:val="18696820"/>
    <w:rsid w:val="18735BA7"/>
    <w:rsid w:val="18942B50"/>
    <w:rsid w:val="189574CF"/>
    <w:rsid w:val="18C1381B"/>
    <w:rsid w:val="18EF063E"/>
    <w:rsid w:val="18F509AD"/>
    <w:rsid w:val="19283F59"/>
    <w:rsid w:val="195179FC"/>
    <w:rsid w:val="1965410E"/>
    <w:rsid w:val="19AC6690"/>
    <w:rsid w:val="19D86FCF"/>
    <w:rsid w:val="19DD0836"/>
    <w:rsid w:val="19F73A62"/>
    <w:rsid w:val="1A112600"/>
    <w:rsid w:val="1A361CF4"/>
    <w:rsid w:val="1A4D0FBB"/>
    <w:rsid w:val="1A5732DB"/>
    <w:rsid w:val="1A653FBA"/>
    <w:rsid w:val="1A8E1B30"/>
    <w:rsid w:val="1A9113E8"/>
    <w:rsid w:val="1AAB0DEE"/>
    <w:rsid w:val="1AB465AA"/>
    <w:rsid w:val="1ABD38A5"/>
    <w:rsid w:val="1AE518C0"/>
    <w:rsid w:val="1AE525DC"/>
    <w:rsid w:val="1AE649E3"/>
    <w:rsid w:val="1AEF4DB6"/>
    <w:rsid w:val="1B30742A"/>
    <w:rsid w:val="1B44356D"/>
    <w:rsid w:val="1B725AB8"/>
    <w:rsid w:val="1B8D29CC"/>
    <w:rsid w:val="1BA64C58"/>
    <w:rsid w:val="1BCF355A"/>
    <w:rsid w:val="1BD4068A"/>
    <w:rsid w:val="1BDD2D6F"/>
    <w:rsid w:val="1BF12377"/>
    <w:rsid w:val="1C054074"/>
    <w:rsid w:val="1C2269D4"/>
    <w:rsid w:val="1C422BD3"/>
    <w:rsid w:val="1C4B29B9"/>
    <w:rsid w:val="1C4B6B57"/>
    <w:rsid w:val="1C6B3A95"/>
    <w:rsid w:val="1C6C45DD"/>
    <w:rsid w:val="1C782696"/>
    <w:rsid w:val="1C954DFB"/>
    <w:rsid w:val="1CAB1319"/>
    <w:rsid w:val="1CE95744"/>
    <w:rsid w:val="1CE9645A"/>
    <w:rsid w:val="1D0F0F48"/>
    <w:rsid w:val="1D1538D7"/>
    <w:rsid w:val="1D202A01"/>
    <w:rsid w:val="1D3F5364"/>
    <w:rsid w:val="1D8F6B81"/>
    <w:rsid w:val="1DB7139E"/>
    <w:rsid w:val="1DE3049D"/>
    <w:rsid w:val="1DF04DC2"/>
    <w:rsid w:val="1DF10B11"/>
    <w:rsid w:val="1E0A4051"/>
    <w:rsid w:val="1E0A5972"/>
    <w:rsid w:val="1E0D1011"/>
    <w:rsid w:val="1E2A2012"/>
    <w:rsid w:val="1E2A6014"/>
    <w:rsid w:val="1E2F7187"/>
    <w:rsid w:val="1E372154"/>
    <w:rsid w:val="1E827BFE"/>
    <w:rsid w:val="1F205BF7"/>
    <w:rsid w:val="1F2A250B"/>
    <w:rsid w:val="1F2B0451"/>
    <w:rsid w:val="1F2E7C3A"/>
    <w:rsid w:val="1F5C044F"/>
    <w:rsid w:val="1F6C7AAC"/>
    <w:rsid w:val="1F826BF3"/>
    <w:rsid w:val="1F8B4890"/>
    <w:rsid w:val="1FCD476E"/>
    <w:rsid w:val="1FEF601C"/>
    <w:rsid w:val="1FF04784"/>
    <w:rsid w:val="2011061A"/>
    <w:rsid w:val="20176124"/>
    <w:rsid w:val="20422C55"/>
    <w:rsid w:val="20564E9E"/>
    <w:rsid w:val="20831A0C"/>
    <w:rsid w:val="209B6D55"/>
    <w:rsid w:val="20CA13E8"/>
    <w:rsid w:val="20DC5B42"/>
    <w:rsid w:val="210E5178"/>
    <w:rsid w:val="21271D33"/>
    <w:rsid w:val="21296DD7"/>
    <w:rsid w:val="2149055F"/>
    <w:rsid w:val="214A1F68"/>
    <w:rsid w:val="21956D03"/>
    <w:rsid w:val="21BA3633"/>
    <w:rsid w:val="21ED538F"/>
    <w:rsid w:val="21FA58BD"/>
    <w:rsid w:val="2201276E"/>
    <w:rsid w:val="22107B5D"/>
    <w:rsid w:val="22163203"/>
    <w:rsid w:val="221E4EA2"/>
    <w:rsid w:val="22443557"/>
    <w:rsid w:val="2270016D"/>
    <w:rsid w:val="227E0E90"/>
    <w:rsid w:val="22C66B6C"/>
    <w:rsid w:val="22FF181D"/>
    <w:rsid w:val="230170ED"/>
    <w:rsid w:val="23056708"/>
    <w:rsid w:val="23137077"/>
    <w:rsid w:val="23176C34"/>
    <w:rsid w:val="233F219B"/>
    <w:rsid w:val="23410293"/>
    <w:rsid w:val="23497E47"/>
    <w:rsid w:val="237B56C3"/>
    <w:rsid w:val="23835CC3"/>
    <w:rsid w:val="23B24AE2"/>
    <w:rsid w:val="23C65CAC"/>
    <w:rsid w:val="23C90E0F"/>
    <w:rsid w:val="23EC132B"/>
    <w:rsid w:val="23F30027"/>
    <w:rsid w:val="24050065"/>
    <w:rsid w:val="24243D2F"/>
    <w:rsid w:val="243C6945"/>
    <w:rsid w:val="244F237A"/>
    <w:rsid w:val="247600A3"/>
    <w:rsid w:val="247973AD"/>
    <w:rsid w:val="24826AAC"/>
    <w:rsid w:val="24BE4F72"/>
    <w:rsid w:val="24CD7C1D"/>
    <w:rsid w:val="24D876C9"/>
    <w:rsid w:val="24EE26FA"/>
    <w:rsid w:val="251C6451"/>
    <w:rsid w:val="25296BF1"/>
    <w:rsid w:val="253908EB"/>
    <w:rsid w:val="257715B6"/>
    <w:rsid w:val="25946D7A"/>
    <w:rsid w:val="259573F3"/>
    <w:rsid w:val="259D0E7A"/>
    <w:rsid w:val="25C57200"/>
    <w:rsid w:val="25C64874"/>
    <w:rsid w:val="25D779FC"/>
    <w:rsid w:val="25E53A0E"/>
    <w:rsid w:val="26490F70"/>
    <w:rsid w:val="265A1401"/>
    <w:rsid w:val="2674607E"/>
    <w:rsid w:val="267E3D58"/>
    <w:rsid w:val="26833CDF"/>
    <w:rsid w:val="268B33C8"/>
    <w:rsid w:val="26A139B9"/>
    <w:rsid w:val="26BE53F5"/>
    <w:rsid w:val="26C3782D"/>
    <w:rsid w:val="26D703BB"/>
    <w:rsid w:val="26FF2D83"/>
    <w:rsid w:val="27046619"/>
    <w:rsid w:val="2710406E"/>
    <w:rsid w:val="2713592E"/>
    <w:rsid w:val="27474D51"/>
    <w:rsid w:val="27606D11"/>
    <w:rsid w:val="276D30DA"/>
    <w:rsid w:val="278C389C"/>
    <w:rsid w:val="27CA30C0"/>
    <w:rsid w:val="27DD3A3C"/>
    <w:rsid w:val="27DD7526"/>
    <w:rsid w:val="27E74774"/>
    <w:rsid w:val="27E8367B"/>
    <w:rsid w:val="27F03E2A"/>
    <w:rsid w:val="27F55B5F"/>
    <w:rsid w:val="2802467B"/>
    <w:rsid w:val="28105E26"/>
    <w:rsid w:val="28137B19"/>
    <w:rsid w:val="282A4EE3"/>
    <w:rsid w:val="2859377E"/>
    <w:rsid w:val="28655366"/>
    <w:rsid w:val="287B7D72"/>
    <w:rsid w:val="289B1FE8"/>
    <w:rsid w:val="28A22FF3"/>
    <w:rsid w:val="28D84F2C"/>
    <w:rsid w:val="28D95780"/>
    <w:rsid w:val="28FA3D43"/>
    <w:rsid w:val="29135C80"/>
    <w:rsid w:val="29184C90"/>
    <w:rsid w:val="297168A5"/>
    <w:rsid w:val="2987431B"/>
    <w:rsid w:val="299005B7"/>
    <w:rsid w:val="299518A8"/>
    <w:rsid w:val="2996630C"/>
    <w:rsid w:val="299D52AC"/>
    <w:rsid w:val="29A07BB5"/>
    <w:rsid w:val="29C275A9"/>
    <w:rsid w:val="29E31885"/>
    <w:rsid w:val="29EC30B7"/>
    <w:rsid w:val="29F5385D"/>
    <w:rsid w:val="29F96726"/>
    <w:rsid w:val="2A257690"/>
    <w:rsid w:val="2A31595A"/>
    <w:rsid w:val="2A4657CA"/>
    <w:rsid w:val="2A4E68FB"/>
    <w:rsid w:val="2A6313F0"/>
    <w:rsid w:val="2A657668"/>
    <w:rsid w:val="2A9B59C7"/>
    <w:rsid w:val="2ABD4F44"/>
    <w:rsid w:val="2AC60E73"/>
    <w:rsid w:val="2ACB34E1"/>
    <w:rsid w:val="2ACB46DB"/>
    <w:rsid w:val="2AF37B03"/>
    <w:rsid w:val="2AFD7C2B"/>
    <w:rsid w:val="2B04144B"/>
    <w:rsid w:val="2B16710B"/>
    <w:rsid w:val="2B470CC8"/>
    <w:rsid w:val="2B744BA6"/>
    <w:rsid w:val="2B761772"/>
    <w:rsid w:val="2B8A1EA0"/>
    <w:rsid w:val="2B96563F"/>
    <w:rsid w:val="2BAA573A"/>
    <w:rsid w:val="2BAC413F"/>
    <w:rsid w:val="2BBF094B"/>
    <w:rsid w:val="2BC21098"/>
    <w:rsid w:val="2BD50FFB"/>
    <w:rsid w:val="2BDD52E4"/>
    <w:rsid w:val="2BDE4589"/>
    <w:rsid w:val="2C2C500A"/>
    <w:rsid w:val="2C416A03"/>
    <w:rsid w:val="2C4D55F3"/>
    <w:rsid w:val="2C934C6C"/>
    <w:rsid w:val="2CA46F92"/>
    <w:rsid w:val="2CA81C18"/>
    <w:rsid w:val="2CBF0390"/>
    <w:rsid w:val="2CC47634"/>
    <w:rsid w:val="2CD428A4"/>
    <w:rsid w:val="2D002551"/>
    <w:rsid w:val="2D133227"/>
    <w:rsid w:val="2D1C01D7"/>
    <w:rsid w:val="2D241E80"/>
    <w:rsid w:val="2D4A5D8B"/>
    <w:rsid w:val="2D4F4160"/>
    <w:rsid w:val="2D623A3C"/>
    <w:rsid w:val="2D660618"/>
    <w:rsid w:val="2D7A18D6"/>
    <w:rsid w:val="2D917162"/>
    <w:rsid w:val="2DA55852"/>
    <w:rsid w:val="2DD14C01"/>
    <w:rsid w:val="2DF21942"/>
    <w:rsid w:val="2DF64DDD"/>
    <w:rsid w:val="2DF87595"/>
    <w:rsid w:val="2DF877A3"/>
    <w:rsid w:val="2E4116F7"/>
    <w:rsid w:val="2E4511F3"/>
    <w:rsid w:val="2EF007EA"/>
    <w:rsid w:val="2F082045"/>
    <w:rsid w:val="2F2E7C1E"/>
    <w:rsid w:val="2F3B7E9F"/>
    <w:rsid w:val="2F472107"/>
    <w:rsid w:val="2F923FFC"/>
    <w:rsid w:val="2FBA7F23"/>
    <w:rsid w:val="2FC87B70"/>
    <w:rsid w:val="2FCE5962"/>
    <w:rsid w:val="2FF7656A"/>
    <w:rsid w:val="301D6BAD"/>
    <w:rsid w:val="302023C0"/>
    <w:rsid w:val="303B3568"/>
    <w:rsid w:val="304C65BB"/>
    <w:rsid w:val="304F22AB"/>
    <w:rsid w:val="305B7641"/>
    <w:rsid w:val="305C6BE9"/>
    <w:rsid w:val="306151BC"/>
    <w:rsid w:val="306A372C"/>
    <w:rsid w:val="307149F2"/>
    <w:rsid w:val="30776892"/>
    <w:rsid w:val="308C5BF6"/>
    <w:rsid w:val="30A75A51"/>
    <w:rsid w:val="30AE123D"/>
    <w:rsid w:val="30DD42ED"/>
    <w:rsid w:val="30E06F41"/>
    <w:rsid w:val="3195437E"/>
    <w:rsid w:val="31CA1248"/>
    <w:rsid w:val="32004C6A"/>
    <w:rsid w:val="32133AA3"/>
    <w:rsid w:val="321D406E"/>
    <w:rsid w:val="322A618B"/>
    <w:rsid w:val="324C7EAF"/>
    <w:rsid w:val="32540054"/>
    <w:rsid w:val="3254061D"/>
    <w:rsid w:val="327F65A6"/>
    <w:rsid w:val="32857B9E"/>
    <w:rsid w:val="32AC4DF2"/>
    <w:rsid w:val="32C5524A"/>
    <w:rsid w:val="32DA04A4"/>
    <w:rsid w:val="32F46840"/>
    <w:rsid w:val="32FC18D5"/>
    <w:rsid w:val="3310732B"/>
    <w:rsid w:val="33353039"/>
    <w:rsid w:val="33386B85"/>
    <w:rsid w:val="33463D5A"/>
    <w:rsid w:val="33532D29"/>
    <w:rsid w:val="33575DA1"/>
    <w:rsid w:val="336A009B"/>
    <w:rsid w:val="33B91574"/>
    <w:rsid w:val="33DB0473"/>
    <w:rsid w:val="3435729C"/>
    <w:rsid w:val="34425A0E"/>
    <w:rsid w:val="34426C83"/>
    <w:rsid w:val="3475776A"/>
    <w:rsid w:val="34774014"/>
    <w:rsid w:val="34936269"/>
    <w:rsid w:val="34961AE1"/>
    <w:rsid w:val="349B6162"/>
    <w:rsid w:val="34A806E4"/>
    <w:rsid w:val="353D0A4B"/>
    <w:rsid w:val="3547006D"/>
    <w:rsid w:val="35607438"/>
    <w:rsid w:val="359C6973"/>
    <w:rsid w:val="35C8368F"/>
    <w:rsid w:val="35CE6A1F"/>
    <w:rsid w:val="35D132E8"/>
    <w:rsid w:val="35F86203"/>
    <w:rsid w:val="360D2F47"/>
    <w:rsid w:val="361476AB"/>
    <w:rsid w:val="3639089B"/>
    <w:rsid w:val="364D0ED0"/>
    <w:rsid w:val="364F0B96"/>
    <w:rsid w:val="36570881"/>
    <w:rsid w:val="367B645F"/>
    <w:rsid w:val="36950EA4"/>
    <w:rsid w:val="36AA22CB"/>
    <w:rsid w:val="36B656E2"/>
    <w:rsid w:val="36BF17A7"/>
    <w:rsid w:val="36D05511"/>
    <w:rsid w:val="371C4D5B"/>
    <w:rsid w:val="37282CE5"/>
    <w:rsid w:val="37480041"/>
    <w:rsid w:val="37730F14"/>
    <w:rsid w:val="37733880"/>
    <w:rsid w:val="378063B8"/>
    <w:rsid w:val="37B5766F"/>
    <w:rsid w:val="37C268B7"/>
    <w:rsid w:val="37DF66C5"/>
    <w:rsid w:val="37E241F6"/>
    <w:rsid w:val="37E90BDC"/>
    <w:rsid w:val="380134EA"/>
    <w:rsid w:val="38101500"/>
    <w:rsid w:val="381D0AD9"/>
    <w:rsid w:val="38A81198"/>
    <w:rsid w:val="38E928FC"/>
    <w:rsid w:val="39003E61"/>
    <w:rsid w:val="390F7537"/>
    <w:rsid w:val="391207F8"/>
    <w:rsid w:val="39244466"/>
    <w:rsid w:val="392871C3"/>
    <w:rsid w:val="39431039"/>
    <w:rsid w:val="3945141D"/>
    <w:rsid w:val="39487535"/>
    <w:rsid w:val="3950552D"/>
    <w:rsid w:val="39561614"/>
    <w:rsid w:val="39661726"/>
    <w:rsid w:val="399C171C"/>
    <w:rsid w:val="39A3084D"/>
    <w:rsid w:val="39AC2FB8"/>
    <w:rsid w:val="39B61841"/>
    <w:rsid w:val="39D07767"/>
    <w:rsid w:val="3A3071C3"/>
    <w:rsid w:val="3AA87DFE"/>
    <w:rsid w:val="3AB30284"/>
    <w:rsid w:val="3AD1189A"/>
    <w:rsid w:val="3B2711EC"/>
    <w:rsid w:val="3B3B3E5C"/>
    <w:rsid w:val="3B5A188F"/>
    <w:rsid w:val="3BA40D5C"/>
    <w:rsid w:val="3BC80176"/>
    <w:rsid w:val="3BD2596C"/>
    <w:rsid w:val="3BED2703"/>
    <w:rsid w:val="3BF32380"/>
    <w:rsid w:val="3BFB468A"/>
    <w:rsid w:val="3C096B95"/>
    <w:rsid w:val="3C205657"/>
    <w:rsid w:val="3C687FA4"/>
    <w:rsid w:val="3C6B7461"/>
    <w:rsid w:val="3C6D287B"/>
    <w:rsid w:val="3C887830"/>
    <w:rsid w:val="3C9647E3"/>
    <w:rsid w:val="3CB263D4"/>
    <w:rsid w:val="3CD20A60"/>
    <w:rsid w:val="3CD53ADE"/>
    <w:rsid w:val="3CD85B46"/>
    <w:rsid w:val="3CF61D7F"/>
    <w:rsid w:val="3CFD6976"/>
    <w:rsid w:val="3D0418D3"/>
    <w:rsid w:val="3D5071DD"/>
    <w:rsid w:val="3D5C40F0"/>
    <w:rsid w:val="3D8271F8"/>
    <w:rsid w:val="3D8A5176"/>
    <w:rsid w:val="3D916B75"/>
    <w:rsid w:val="3DC07858"/>
    <w:rsid w:val="3DC11F2C"/>
    <w:rsid w:val="3DCC66DC"/>
    <w:rsid w:val="3DD965C3"/>
    <w:rsid w:val="3DEF0628"/>
    <w:rsid w:val="3DF43B71"/>
    <w:rsid w:val="3E133F77"/>
    <w:rsid w:val="3E2A766A"/>
    <w:rsid w:val="3E3F4D6C"/>
    <w:rsid w:val="3E640CF2"/>
    <w:rsid w:val="3E774D2C"/>
    <w:rsid w:val="3EA64DEB"/>
    <w:rsid w:val="3EB224C6"/>
    <w:rsid w:val="3EB556A0"/>
    <w:rsid w:val="3EC86B0A"/>
    <w:rsid w:val="3ECC0B5E"/>
    <w:rsid w:val="3ED92ACB"/>
    <w:rsid w:val="3EFB1226"/>
    <w:rsid w:val="3F247041"/>
    <w:rsid w:val="3F3441A5"/>
    <w:rsid w:val="3F513F7A"/>
    <w:rsid w:val="3F715DB9"/>
    <w:rsid w:val="3F874C1D"/>
    <w:rsid w:val="3FA42C88"/>
    <w:rsid w:val="3FA532F5"/>
    <w:rsid w:val="3FBF6DCF"/>
    <w:rsid w:val="3FC63D9A"/>
    <w:rsid w:val="3FD60B6D"/>
    <w:rsid w:val="400C5122"/>
    <w:rsid w:val="40214F2A"/>
    <w:rsid w:val="40590BD9"/>
    <w:rsid w:val="408263F3"/>
    <w:rsid w:val="40873FAA"/>
    <w:rsid w:val="40C9286D"/>
    <w:rsid w:val="40E66FCB"/>
    <w:rsid w:val="40ED6C77"/>
    <w:rsid w:val="4105025D"/>
    <w:rsid w:val="410C560C"/>
    <w:rsid w:val="41240F8D"/>
    <w:rsid w:val="413C37E5"/>
    <w:rsid w:val="416625E2"/>
    <w:rsid w:val="419F644D"/>
    <w:rsid w:val="41B149FD"/>
    <w:rsid w:val="41D92D5F"/>
    <w:rsid w:val="41FA7928"/>
    <w:rsid w:val="42220C2D"/>
    <w:rsid w:val="422C3774"/>
    <w:rsid w:val="42340EF2"/>
    <w:rsid w:val="42502A11"/>
    <w:rsid w:val="4278084D"/>
    <w:rsid w:val="427C658F"/>
    <w:rsid w:val="42827425"/>
    <w:rsid w:val="42A96C58"/>
    <w:rsid w:val="42DF1732"/>
    <w:rsid w:val="42E83781"/>
    <w:rsid w:val="43597D5F"/>
    <w:rsid w:val="43744F2E"/>
    <w:rsid w:val="4374652E"/>
    <w:rsid w:val="43A044FF"/>
    <w:rsid w:val="43B62535"/>
    <w:rsid w:val="43B835F7"/>
    <w:rsid w:val="43E20827"/>
    <w:rsid w:val="43F1569B"/>
    <w:rsid w:val="4400213F"/>
    <w:rsid w:val="4407350D"/>
    <w:rsid w:val="440C3A50"/>
    <w:rsid w:val="44151D7C"/>
    <w:rsid w:val="441C2439"/>
    <w:rsid w:val="44427364"/>
    <w:rsid w:val="447500A8"/>
    <w:rsid w:val="447D6939"/>
    <w:rsid w:val="447F43EA"/>
    <w:rsid w:val="4484797D"/>
    <w:rsid w:val="448B5F7A"/>
    <w:rsid w:val="44AD0C81"/>
    <w:rsid w:val="44DB5F26"/>
    <w:rsid w:val="44F81583"/>
    <w:rsid w:val="4505128B"/>
    <w:rsid w:val="450D559C"/>
    <w:rsid w:val="45161D4D"/>
    <w:rsid w:val="45196315"/>
    <w:rsid w:val="452F78E8"/>
    <w:rsid w:val="4554734F"/>
    <w:rsid w:val="455C6365"/>
    <w:rsid w:val="45603F46"/>
    <w:rsid w:val="456B687F"/>
    <w:rsid w:val="456C15D0"/>
    <w:rsid w:val="459A2076"/>
    <w:rsid w:val="45B2087B"/>
    <w:rsid w:val="45B41343"/>
    <w:rsid w:val="45C613E6"/>
    <w:rsid w:val="45E25DC3"/>
    <w:rsid w:val="45EC729E"/>
    <w:rsid w:val="45F73048"/>
    <w:rsid w:val="45FE2115"/>
    <w:rsid w:val="46172F14"/>
    <w:rsid w:val="46317D6A"/>
    <w:rsid w:val="463670F8"/>
    <w:rsid w:val="4688065D"/>
    <w:rsid w:val="46992586"/>
    <w:rsid w:val="46A30802"/>
    <w:rsid w:val="46C07D19"/>
    <w:rsid w:val="46C329DE"/>
    <w:rsid w:val="46F40FF9"/>
    <w:rsid w:val="46F50B99"/>
    <w:rsid w:val="47022235"/>
    <w:rsid w:val="471825FE"/>
    <w:rsid w:val="471B7209"/>
    <w:rsid w:val="472149C3"/>
    <w:rsid w:val="4724689E"/>
    <w:rsid w:val="476569EB"/>
    <w:rsid w:val="47705F96"/>
    <w:rsid w:val="477A28E9"/>
    <w:rsid w:val="47B46251"/>
    <w:rsid w:val="47DB78B4"/>
    <w:rsid w:val="47F8475B"/>
    <w:rsid w:val="47FB2640"/>
    <w:rsid w:val="481A6DC3"/>
    <w:rsid w:val="481E1802"/>
    <w:rsid w:val="48377F61"/>
    <w:rsid w:val="4849538E"/>
    <w:rsid w:val="487365B4"/>
    <w:rsid w:val="4888598E"/>
    <w:rsid w:val="489839F7"/>
    <w:rsid w:val="489B34E7"/>
    <w:rsid w:val="48B374EA"/>
    <w:rsid w:val="48CC60E7"/>
    <w:rsid w:val="48D11AB6"/>
    <w:rsid w:val="48DA35CE"/>
    <w:rsid w:val="48F37736"/>
    <w:rsid w:val="490323D0"/>
    <w:rsid w:val="4904457A"/>
    <w:rsid w:val="491079E8"/>
    <w:rsid w:val="491110C7"/>
    <w:rsid w:val="49263305"/>
    <w:rsid w:val="49281E95"/>
    <w:rsid w:val="4928211D"/>
    <w:rsid w:val="492C413F"/>
    <w:rsid w:val="49421A0D"/>
    <w:rsid w:val="494633CF"/>
    <w:rsid w:val="49463453"/>
    <w:rsid w:val="494751AD"/>
    <w:rsid w:val="496100B7"/>
    <w:rsid w:val="496164DE"/>
    <w:rsid w:val="497648A4"/>
    <w:rsid w:val="4978070A"/>
    <w:rsid w:val="49D026EA"/>
    <w:rsid w:val="49F753CF"/>
    <w:rsid w:val="4A114FD9"/>
    <w:rsid w:val="4A361719"/>
    <w:rsid w:val="4A415BEB"/>
    <w:rsid w:val="4A4A143A"/>
    <w:rsid w:val="4A5238C4"/>
    <w:rsid w:val="4AC0677B"/>
    <w:rsid w:val="4AF17BF1"/>
    <w:rsid w:val="4B2F72B3"/>
    <w:rsid w:val="4B3C10C7"/>
    <w:rsid w:val="4B3D10A4"/>
    <w:rsid w:val="4B3D307D"/>
    <w:rsid w:val="4B4D7561"/>
    <w:rsid w:val="4B533C05"/>
    <w:rsid w:val="4B6127C6"/>
    <w:rsid w:val="4B622B75"/>
    <w:rsid w:val="4B737A3F"/>
    <w:rsid w:val="4BB81C19"/>
    <w:rsid w:val="4BC06C16"/>
    <w:rsid w:val="4BFA0524"/>
    <w:rsid w:val="4C25217C"/>
    <w:rsid w:val="4C5F2E23"/>
    <w:rsid w:val="4C7E2539"/>
    <w:rsid w:val="4C803267"/>
    <w:rsid w:val="4C9450C0"/>
    <w:rsid w:val="4CA27D42"/>
    <w:rsid w:val="4CB72C02"/>
    <w:rsid w:val="4CCF2530"/>
    <w:rsid w:val="4CD758A2"/>
    <w:rsid w:val="4CE4720A"/>
    <w:rsid w:val="4CFD207A"/>
    <w:rsid w:val="4D2379E6"/>
    <w:rsid w:val="4D274DF5"/>
    <w:rsid w:val="4D54526A"/>
    <w:rsid w:val="4D5B41F5"/>
    <w:rsid w:val="4D5D2E18"/>
    <w:rsid w:val="4D71201D"/>
    <w:rsid w:val="4D7A36CB"/>
    <w:rsid w:val="4DB75030"/>
    <w:rsid w:val="4DBA3EEA"/>
    <w:rsid w:val="4DBF44B5"/>
    <w:rsid w:val="4DD24272"/>
    <w:rsid w:val="4DD4062A"/>
    <w:rsid w:val="4DE649E1"/>
    <w:rsid w:val="4DF223D5"/>
    <w:rsid w:val="4DF27969"/>
    <w:rsid w:val="4DF4004F"/>
    <w:rsid w:val="4E037B64"/>
    <w:rsid w:val="4E143B1F"/>
    <w:rsid w:val="4E1E6B8C"/>
    <w:rsid w:val="4E2875CB"/>
    <w:rsid w:val="4E481A1B"/>
    <w:rsid w:val="4E7E3004"/>
    <w:rsid w:val="4E881C0B"/>
    <w:rsid w:val="4E9E662E"/>
    <w:rsid w:val="4E9F372B"/>
    <w:rsid w:val="4EB259BC"/>
    <w:rsid w:val="4EB81D0D"/>
    <w:rsid w:val="4EBE6204"/>
    <w:rsid w:val="4ECE0486"/>
    <w:rsid w:val="4ED43D3C"/>
    <w:rsid w:val="4ED55A99"/>
    <w:rsid w:val="4ED5634B"/>
    <w:rsid w:val="4F0B7C1B"/>
    <w:rsid w:val="4F102E69"/>
    <w:rsid w:val="4F143420"/>
    <w:rsid w:val="4F170CFF"/>
    <w:rsid w:val="4F3E40CA"/>
    <w:rsid w:val="4F8E5B53"/>
    <w:rsid w:val="4FA41885"/>
    <w:rsid w:val="4FA53E7C"/>
    <w:rsid w:val="4FBA031C"/>
    <w:rsid w:val="50051787"/>
    <w:rsid w:val="500F5B36"/>
    <w:rsid w:val="50100A52"/>
    <w:rsid w:val="502B5150"/>
    <w:rsid w:val="503D685C"/>
    <w:rsid w:val="507A29F3"/>
    <w:rsid w:val="50897D0B"/>
    <w:rsid w:val="508C45B3"/>
    <w:rsid w:val="50991C9A"/>
    <w:rsid w:val="509F07DB"/>
    <w:rsid w:val="50A05B3E"/>
    <w:rsid w:val="50A47621"/>
    <w:rsid w:val="50A867A1"/>
    <w:rsid w:val="50AA73FE"/>
    <w:rsid w:val="50AB68F0"/>
    <w:rsid w:val="50AD2009"/>
    <w:rsid w:val="50B72606"/>
    <w:rsid w:val="50EF0C0F"/>
    <w:rsid w:val="51071C08"/>
    <w:rsid w:val="512305A8"/>
    <w:rsid w:val="51301482"/>
    <w:rsid w:val="51404C2B"/>
    <w:rsid w:val="51405174"/>
    <w:rsid w:val="514F30C0"/>
    <w:rsid w:val="517F7502"/>
    <w:rsid w:val="51AA02F7"/>
    <w:rsid w:val="51AD1E09"/>
    <w:rsid w:val="51FA127E"/>
    <w:rsid w:val="522D110C"/>
    <w:rsid w:val="523227C6"/>
    <w:rsid w:val="523D1CAF"/>
    <w:rsid w:val="524B4216"/>
    <w:rsid w:val="527A5F1B"/>
    <w:rsid w:val="52857304"/>
    <w:rsid w:val="528F19C6"/>
    <w:rsid w:val="52CC2BDF"/>
    <w:rsid w:val="52E42453"/>
    <w:rsid w:val="52E44151"/>
    <w:rsid w:val="52FA4E82"/>
    <w:rsid w:val="53057EDB"/>
    <w:rsid w:val="530E026F"/>
    <w:rsid w:val="53183F94"/>
    <w:rsid w:val="534927D2"/>
    <w:rsid w:val="534B13FB"/>
    <w:rsid w:val="53546D62"/>
    <w:rsid w:val="537A4FB4"/>
    <w:rsid w:val="538C0003"/>
    <w:rsid w:val="538C6543"/>
    <w:rsid w:val="5391737A"/>
    <w:rsid w:val="53BF4306"/>
    <w:rsid w:val="53CF1A9E"/>
    <w:rsid w:val="53F00AB9"/>
    <w:rsid w:val="53FB308C"/>
    <w:rsid w:val="5414766B"/>
    <w:rsid w:val="54241BB3"/>
    <w:rsid w:val="542815A5"/>
    <w:rsid w:val="543D3223"/>
    <w:rsid w:val="543D32B8"/>
    <w:rsid w:val="54424014"/>
    <w:rsid w:val="54580A0A"/>
    <w:rsid w:val="5496051E"/>
    <w:rsid w:val="54BF0DFD"/>
    <w:rsid w:val="54BF230B"/>
    <w:rsid w:val="54C346FB"/>
    <w:rsid w:val="5501798E"/>
    <w:rsid w:val="55063471"/>
    <w:rsid w:val="55266F6F"/>
    <w:rsid w:val="552C22CD"/>
    <w:rsid w:val="55674E7D"/>
    <w:rsid w:val="557430F6"/>
    <w:rsid w:val="558F1CDD"/>
    <w:rsid w:val="55A17212"/>
    <w:rsid w:val="55DB13C7"/>
    <w:rsid w:val="55F81120"/>
    <w:rsid w:val="55FC3516"/>
    <w:rsid w:val="56257F80"/>
    <w:rsid w:val="56383534"/>
    <w:rsid w:val="563B4FC0"/>
    <w:rsid w:val="564775C2"/>
    <w:rsid w:val="565465FE"/>
    <w:rsid w:val="566F7226"/>
    <w:rsid w:val="56876451"/>
    <w:rsid w:val="56924BBB"/>
    <w:rsid w:val="56A17C8B"/>
    <w:rsid w:val="56A33C92"/>
    <w:rsid w:val="56D20B19"/>
    <w:rsid w:val="56DB21EC"/>
    <w:rsid w:val="56E52E72"/>
    <w:rsid w:val="56EF3434"/>
    <w:rsid w:val="57373A04"/>
    <w:rsid w:val="577E733E"/>
    <w:rsid w:val="578047C5"/>
    <w:rsid w:val="57B3657F"/>
    <w:rsid w:val="57B75E42"/>
    <w:rsid w:val="57C75F3E"/>
    <w:rsid w:val="580469B3"/>
    <w:rsid w:val="580E064F"/>
    <w:rsid w:val="581B2816"/>
    <w:rsid w:val="583216A7"/>
    <w:rsid w:val="58630282"/>
    <w:rsid w:val="58840F89"/>
    <w:rsid w:val="58923AF2"/>
    <w:rsid w:val="58BA3515"/>
    <w:rsid w:val="58C44394"/>
    <w:rsid w:val="58D129E6"/>
    <w:rsid w:val="58FE3FCD"/>
    <w:rsid w:val="594554D5"/>
    <w:rsid w:val="596F6A6B"/>
    <w:rsid w:val="59A61EC5"/>
    <w:rsid w:val="59B00123"/>
    <w:rsid w:val="59B777B8"/>
    <w:rsid w:val="59BB1EED"/>
    <w:rsid w:val="59C75EEA"/>
    <w:rsid w:val="59C976BB"/>
    <w:rsid w:val="59E37CBF"/>
    <w:rsid w:val="59F42A57"/>
    <w:rsid w:val="59F979CF"/>
    <w:rsid w:val="59FB4A80"/>
    <w:rsid w:val="5A1A0F32"/>
    <w:rsid w:val="5A3B68D8"/>
    <w:rsid w:val="5A4C7191"/>
    <w:rsid w:val="5A540985"/>
    <w:rsid w:val="5A6D3AC4"/>
    <w:rsid w:val="5A9543EF"/>
    <w:rsid w:val="5AD85A9C"/>
    <w:rsid w:val="5B1F58B2"/>
    <w:rsid w:val="5B3E21DC"/>
    <w:rsid w:val="5B404CF2"/>
    <w:rsid w:val="5B466CC0"/>
    <w:rsid w:val="5B47322C"/>
    <w:rsid w:val="5B500B85"/>
    <w:rsid w:val="5B737E62"/>
    <w:rsid w:val="5B75758F"/>
    <w:rsid w:val="5BA54788"/>
    <w:rsid w:val="5BA95BEC"/>
    <w:rsid w:val="5BB73D3C"/>
    <w:rsid w:val="5BEF4744"/>
    <w:rsid w:val="5BF5303C"/>
    <w:rsid w:val="5BFA3213"/>
    <w:rsid w:val="5BFF27D7"/>
    <w:rsid w:val="5C007491"/>
    <w:rsid w:val="5C0D1138"/>
    <w:rsid w:val="5C506249"/>
    <w:rsid w:val="5C526B11"/>
    <w:rsid w:val="5C692F25"/>
    <w:rsid w:val="5C6D7659"/>
    <w:rsid w:val="5C732581"/>
    <w:rsid w:val="5C8517E7"/>
    <w:rsid w:val="5C8D161B"/>
    <w:rsid w:val="5D08607A"/>
    <w:rsid w:val="5D255D91"/>
    <w:rsid w:val="5D2D17A3"/>
    <w:rsid w:val="5D481873"/>
    <w:rsid w:val="5D807231"/>
    <w:rsid w:val="5DBE5856"/>
    <w:rsid w:val="5DC35431"/>
    <w:rsid w:val="5DDD55A8"/>
    <w:rsid w:val="5DED35E6"/>
    <w:rsid w:val="5DEF59F0"/>
    <w:rsid w:val="5E1E7F4A"/>
    <w:rsid w:val="5E382B5E"/>
    <w:rsid w:val="5E926810"/>
    <w:rsid w:val="5E953210"/>
    <w:rsid w:val="5E956320"/>
    <w:rsid w:val="5EAC2E17"/>
    <w:rsid w:val="5EAE1E12"/>
    <w:rsid w:val="5EB153BA"/>
    <w:rsid w:val="5EB27BC2"/>
    <w:rsid w:val="5EB84469"/>
    <w:rsid w:val="5EC839FF"/>
    <w:rsid w:val="5ECA15C6"/>
    <w:rsid w:val="5EEB267A"/>
    <w:rsid w:val="5F061376"/>
    <w:rsid w:val="5F092881"/>
    <w:rsid w:val="5F142EC3"/>
    <w:rsid w:val="5F1E2415"/>
    <w:rsid w:val="5F6E70EC"/>
    <w:rsid w:val="5F6F4080"/>
    <w:rsid w:val="5F7276BF"/>
    <w:rsid w:val="5F742A5E"/>
    <w:rsid w:val="5F7E2EA9"/>
    <w:rsid w:val="5F84662B"/>
    <w:rsid w:val="5FA74B21"/>
    <w:rsid w:val="5FA77DF7"/>
    <w:rsid w:val="5FB24F46"/>
    <w:rsid w:val="5FC765D8"/>
    <w:rsid w:val="5FDC0215"/>
    <w:rsid w:val="5FF67ACB"/>
    <w:rsid w:val="5FF74815"/>
    <w:rsid w:val="5FFB267E"/>
    <w:rsid w:val="600C0AFA"/>
    <w:rsid w:val="60121E89"/>
    <w:rsid w:val="60160558"/>
    <w:rsid w:val="60193217"/>
    <w:rsid w:val="602C0085"/>
    <w:rsid w:val="60301711"/>
    <w:rsid w:val="60325AF5"/>
    <w:rsid w:val="6037262E"/>
    <w:rsid w:val="605F52B9"/>
    <w:rsid w:val="609043AA"/>
    <w:rsid w:val="60971EB1"/>
    <w:rsid w:val="60AB0364"/>
    <w:rsid w:val="60AC6313"/>
    <w:rsid w:val="60B179CC"/>
    <w:rsid w:val="60B6293A"/>
    <w:rsid w:val="60B97462"/>
    <w:rsid w:val="60BE1BDA"/>
    <w:rsid w:val="60CB3538"/>
    <w:rsid w:val="60D72642"/>
    <w:rsid w:val="60FC106E"/>
    <w:rsid w:val="61417182"/>
    <w:rsid w:val="61494650"/>
    <w:rsid w:val="6166044B"/>
    <w:rsid w:val="61693F75"/>
    <w:rsid w:val="61857CC6"/>
    <w:rsid w:val="619863BE"/>
    <w:rsid w:val="61C93478"/>
    <w:rsid w:val="61CA338F"/>
    <w:rsid w:val="61CD115B"/>
    <w:rsid w:val="61D43696"/>
    <w:rsid w:val="61D54F1C"/>
    <w:rsid w:val="61D92EAD"/>
    <w:rsid w:val="61E209C6"/>
    <w:rsid w:val="61E65DFA"/>
    <w:rsid w:val="62015865"/>
    <w:rsid w:val="620C3163"/>
    <w:rsid w:val="62175423"/>
    <w:rsid w:val="62344338"/>
    <w:rsid w:val="62397BA1"/>
    <w:rsid w:val="625036C1"/>
    <w:rsid w:val="62565632"/>
    <w:rsid w:val="6257585B"/>
    <w:rsid w:val="62593D9F"/>
    <w:rsid w:val="625F3F64"/>
    <w:rsid w:val="629D725E"/>
    <w:rsid w:val="62AF217B"/>
    <w:rsid w:val="62E41B8A"/>
    <w:rsid w:val="62F56E01"/>
    <w:rsid w:val="630006BE"/>
    <w:rsid w:val="63407E45"/>
    <w:rsid w:val="635734F6"/>
    <w:rsid w:val="63814567"/>
    <w:rsid w:val="63A4104A"/>
    <w:rsid w:val="63AB0803"/>
    <w:rsid w:val="63B03E93"/>
    <w:rsid w:val="63B100E9"/>
    <w:rsid w:val="63B868A3"/>
    <w:rsid w:val="63D20D9C"/>
    <w:rsid w:val="63D2214F"/>
    <w:rsid w:val="63F87FBB"/>
    <w:rsid w:val="640547C7"/>
    <w:rsid w:val="641B4851"/>
    <w:rsid w:val="641D0B98"/>
    <w:rsid w:val="64415D44"/>
    <w:rsid w:val="644B3C9B"/>
    <w:rsid w:val="644E6418"/>
    <w:rsid w:val="644F06B7"/>
    <w:rsid w:val="64852C29"/>
    <w:rsid w:val="648743C3"/>
    <w:rsid w:val="648C045C"/>
    <w:rsid w:val="649844F2"/>
    <w:rsid w:val="649F37A3"/>
    <w:rsid w:val="64A03CE1"/>
    <w:rsid w:val="64AD329E"/>
    <w:rsid w:val="64D60C4E"/>
    <w:rsid w:val="650C4B04"/>
    <w:rsid w:val="65273E39"/>
    <w:rsid w:val="65674A25"/>
    <w:rsid w:val="6576044A"/>
    <w:rsid w:val="65783C08"/>
    <w:rsid w:val="65C25C9D"/>
    <w:rsid w:val="65D61B75"/>
    <w:rsid w:val="65E25B14"/>
    <w:rsid w:val="66195D15"/>
    <w:rsid w:val="66244A31"/>
    <w:rsid w:val="66556FEC"/>
    <w:rsid w:val="66810413"/>
    <w:rsid w:val="668C70FE"/>
    <w:rsid w:val="66976C44"/>
    <w:rsid w:val="66A75B1B"/>
    <w:rsid w:val="66AE57E0"/>
    <w:rsid w:val="66C025F3"/>
    <w:rsid w:val="66C90BC6"/>
    <w:rsid w:val="66FB71D3"/>
    <w:rsid w:val="66FE6695"/>
    <w:rsid w:val="67581AA5"/>
    <w:rsid w:val="67957627"/>
    <w:rsid w:val="679B2764"/>
    <w:rsid w:val="67AF7AC6"/>
    <w:rsid w:val="67B300CA"/>
    <w:rsid w:val="67B94EBC"/>
    <w:rsid w:val="67CF47B2"/>
    <w:rsid w:val="67E575F2"/>
    <w:rsid w:val="680C0E2D"/>
    <w:rsid w:val="6832174A"/>
    <w:rsid w:val="684C74D1"/>
    <w:rsid w:val="688163FD"/>
    <w:rsid w:val="68915EAE"/>
    <w:rsid w:val="68940A43"/>
    <w:rsid w:val="689D5311"/>
    <w:rsid w:val="68CF5A3B"/>
    <w:rsid w:val="68DE4FFE"/>
    <w:rsid w:val="68EF0FB9"/>
    <w:rsid w:val="68F81DE2"/>
    <w:rsid w:val="68FF5F72"/>
    <w:rsid w:val="69062454"/>
    <w:rsid w:val="690C3919"/>
    <w:rsid w:val="69230982"/>
    <w:rsid w:val="69240448"/>
    <w:rsid w:val="6939071B"/>
    <w:rsid w:val="694F7CAA"/>
    <w:rsid w:val="695D08C2"/>
    <w:rsid w:val="69776D0C"/>
    <w:rsid w:val="6985191D"/>
    <w:rsid w:val="69BD75F5"/>
    <w:rsid w:val="69C36746"/>
    <w:rsid w:val="69D31829"/>
    <w:rsid w:val="69D66FE8"/>
    <w:rsid w:val="69E84296"/>
    <w:rsid w:val="69EC4719"/>
    <w:rsid w:val="69FE016C"/>
    <w:rsid w:val="6A0A28B2"/>
    <w:rsid w:val="6A1411C5"/>
    <w:rsid w:val="6A183A5C"/>
    <w:rsid w:val="6A282EC1"/>
    <w:rsid w:val="6A391A00"/>
    <w:rsid w:val="6A595EFF"/>
    <w:rsid w:val="6A717641"/>
    <w:rsid w:val="6A9976B7"/>
    <w:rsid w:val="6AB0067A"/>
    <w:rsid w:val="6ABB46F3"/>
    <w:rsid w:val="6ACE75A8"/>
    <w:rsid w:val="6AFB5D68"/>
    <w:rsid w:val="6B254FC7"/>
    <w:rsid w:val="6B787C23"/>
    <w:rsid w:val="6B87040E"/>
    <w:rsid w:val="6B97698A"/>
    <w:rsid w:val="6BAA1CC7"/>
    <w:rsid w:val="6BC146C9"/>
    <w:rsid w:val="6BF52D7C"/>
    <w:rsid w:val="6BFC525E"/>
    <w:rsid w:val="6C027255"/>
    <w:rsid w:val="6C033A20"/>
    <w:rsid w:val="6C180827"/>
    <w:rsid w:val="6C762E5C"/>
    <w:rsid w:val="6CB2698D"/>
    <w:rsid w:val="6CB71DEE"/>
    <w:rsid w:val="6CCC0A2A"/>
    <w:rsid w:val="6CCD2296"/>
    <w:rsid w:val="6CE33733"/>
    <w:rsid w:val="6CF64E74"/>
    <w:rsid w:val="6D252903"/>
    <w:rsid w:val="6D350F65"/>
    <w:rsid w:val="6D461EAA"/>
    <w:rsid w:val="6D5D1C13"/>
    <w:rsid w:val="6D6B6D28"/>
    <w:rsid w:val="6D745F31"/>
    <w:rsid w:val="6D9F17FC"/>
    <w:rsid w:val="6DA16094"/>
    <w:rsid w:val="6DE55797"/>
    <w:rsid w:val="6DEA1BFD"/>
    <w:rsid w:val="6E170A78"/>
    <w:rsid w:val="6E3C5535"/>
    <w:rsid w:val="6E4678CD"/>
    <w:rsid w:val="6E5D0773"/>
    <w:rsid w:val="6E876720"/>
    <w:rsid w:val="6EB103FB"/>
    <w:rsid w:val="6EC119AE"/>
    <w:rsid w:val="6EC66318"/>
    <w:rsid w:val="6ED57C34"/>
    <w:rsid w:val="6EF32E85"/>
    <w:rsid w:val="6F060E0B"/>
    <w:rsid w:val="6F103F5D"/>
    <w:rsid w:val="6F1572A0"/>
    <w:rsid w:val="6F8E4AAA"/>
    <w:rsid w:val="6FA43943"/>
    <w:rsid w:val="6FB5733D"/>
    <w:rsid w:val="6FC52A74"/>
    <w:rsid w:val="6FDF6A80"/>
    <w:rsid w:val="6FF3066F"/>
    <w:rsid w:val="703B508C"/>
    <w:rsid w:val="70771D0C"/>
    <w:rsid w:val="7079366B"/>
    <w:rsid w:val="707D49E3"/>
    <w:rsid w:val="708374D5"/>
    <w:rsid w:val="708725B0"/>
    <w:rsid w:val="70904983"/>
    <w:rsid w:val="709550FF"/>
    <w:rsid w:val="70B57628"/>
    <w:rsid w:val="70DE0403"/>
    <w:rsid w:val="71092E34"/>
    <w:rsid w:val="710A6206"/>
    <w:rsid w:val="714D5505"/>
    <w:rsid w:val="715E09AF"/>
    <w:rsid w:val="718E6167"/>
    <w:rsid w:val="71956F36"/>
    <w:rsid w:val="71C805F9"/>
    <w:rsid w:val="71E35433"/>
    <w:rsid w:val="72084E9A"/>
    <w:rsid w:val="720E1197"/>
    <w:rsid w:val="72320320"/>
    <w:rsid w:val="72897083"/>
    <w:rsid w:val="72A82049"/>
    <w:rsid w:val="72D60AF4"/>
    <w:rsid w:val="7305537E"/>
    <w:rsid w:val="7312199D"/>
    <w:rsid w:val="731358A4"/>
    <w:rsid w:val="731427E1"/>
    <w:rsid w:val="7343340A"/>
    <w:rsid w:val="738B2F67"/>
    <w:rsid w:val="73995690"/>
    <w:rsid w:val="73A47ED0"/>
    <w:rsid w:val="73B21FC0"/>
    <w:rsid w:val="73C750EB"/>
    <w:rsid w:val="73CC742B"/>
    <w:rsid w:val="73F7406C"/>
    <w:rsid w:val="741B7577"/>
    <w:rsid w:val="7460720F"/>
    <w:rsid w:val="746A3BEA"/>
    <w:rsid w:val="7488590F"/>
    <w:rsid w:val="748A4618"/>
    <w:rsid w:val="74E269D3"/>
    <w:rsid w:val="74E86564"/>
    <w:rsid w:val="74E86DE7"/>
    <w:rsid w:val="74F3598D"/>
    <w:rsid w:val="75225A76"/>
    <w:rsid w:val="75355FA6"/>
    <w:rsid w:val="754C4F04"/>
    <w:rsid w:val="755C23E6"/>
    <w:rsid w:val="75600D6C"/>
    <w:rsid w:val="757F5473"/>
    <w:rsid w:val="75941EC3"/>
    <w:rsid w:val="75A74352"/>
    <w:rsid w:val="75AB6268"/>
    <w:rsid w:val="75B710B1"/>
    <w:rsid w:val="75CD4430"/>
    <w:rsid w:val="760140DA"/>
    <w:rsid w:val="76070FF9"/>
    <w:rsid w:val="760C178E"/>
    <w:rsid w:val="76746FA2"/>
    <w:rsid w:val="767777A7"/>
    <w:rsid w:val="76A44449"/>
    <w:rsid w:val="76E0047E"/>
    <w:rsid w:val="76F202FB"/>
    <w:rsid w:val="770763A4"/>
    <w:rsid w:val="770F36A5"/>
    <w:rsid w:val="771E3F3E"/>
    <w:rsid w:val="772D3A84"/>
    <w:rsid w:val="77304D80"/>
    <w:rsid w:val="77684117"/>
    <w:rsid w:val="777F6B65"/>
    <w:rsid w:val="779F1DFC"/>
    <w:rsid w:val="77B84C6C"/>
    <w:rsid w:val="77C737C2"/>
    <w:rsid w:val="77E1576B"/>
    <w:rsid w:val="77F97248"/>
    <w:rsid w:val="783052A2"/>
    <w:rsid w:val="7840538D"/>
    <w:rsid w:val="78462278"/>
    <w:rsid w:val="785102D1"/>
    <w:rsid w:val="78593F34"/>
    <w:rsid w:val="785F6331"/>
    <w:rsid w:val="788D60F9"/>
    <w:rsid w:val="78A64F29"/>
    <w:rsid w:val="78E64BEC"/>
    <w:rsid w:val="78E6758C"/>
    <w:rsid w:val="78F67B0E"/>
    <w:rsid w:val="794A5576"/>
    <w:rsid w:val="795A61A3"/>
    <w:rsid w:val="799B65F3"/>
    <w:rsid w:val="79C30024"/>
    <w:rsid w:val="7A0C68AC"/>
    <w:rsid w:val="7A2649BF"/>
    <w:rsid w:val="7A453E3D"/>
    <w:rsid w:val="7A7D08B4"/>
    <w:rsid w:val="7A924F5E"/>
    <w:rsid w:val="7A966626"/>
    <w:rsid w:val="7AE77FCF"/>
    <w:rsid w:val="7AFD7566"/>
    <w:rsid w:val="7B272834"/>
    <w:rsid w:val="7B500EA2"/>
    <w:rsid w:val="7B5F70BA"/>
    <w:rsid w:val="7B7F5B28"/>
    <w:rsid w:val="7B8437E3"/>
    <w:rsid w:val="7BE14791"/>
    <w:rsid w:val="7BEB3B8B"/>
    <w:rsid w:val="7C0734AB"/>
    <w:rsid w:val="7C15788D"/>
    <w:rsid w:val="7C2F69D2"/>
    <w:rsid w:val="7C4C51FE"/>
    <w:rsid w:val="7C5C6025"/>
    <w:rsid w:val="7C7459B8"/>
    <w:rsid w:val="7C7F6891"/>
    <w:rsid w:val="7CAA521D"/>
    <w:rsid w:val="7CBB02B2"/>
    <w:rsid w:val="7CD10CAA"/>
    <w:rsid w:val="7CD76953"/>
    <w:rsid w:val="7D0A7D18"/>
    <w:rsid w:val="7D3A0E5D"/>
    <w:rsid w:val="7D554077"/>
    <w:rsid w:val="7D6424DB"/>
    <w:rsid w:val="7D71089B"/>
    <w:rsid w:val="7D8C1EAA"/>
    <w:rsid w:val="7DA541CA"/>
    <w:rsid w:val="7DEE13E8"/>
    <w:rsid w:val="7E080325"/>
    <w:rsid w:val="7E3F762C"/>
    <w:rsid w:val="7E882CC3"/>
    <w:rsid w:val="7E9A331D"/>
    <w:rsid w:val="7EDE2E84"/>
    <w:rsid w:val="7EE501F0"/>
    <w:rsid w:val="7EFC6998"/>
    <w:rsid w:val="7F0D6295"/>
    <w:rsid w:val="7F0E47B8"/>
    <w:rsid w:val="7F23222B"/>
    <w:rsid w:val="7F453289"/>
    <w:rsid w:val="7F5A6FA2"/>
    <w:rsid w:val="7F8901BE"/>
    <w:rsid w:val="7F9CA701"/>
    <w:rsid w:val="7FC42C6F"/>
    <w:rsid w:val="7FD256A8"/>
    <w:rsid w:val="7FD5050F"/>
    <w:rsid w:val="7FE24F7C"/>
    <w:rsid w:val="7FE44850"/>
    <w:rsid w:val="AFB97C65"/>
    <w:rsid w:val="DEBE27C3"/>
    <w:rsid w:val="FEFF9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4946</Words>
  <Characters>5122</Characters>
  <Paragraphs>55</Paragraphs>
  <TotalTime>0</TotalTime>
  <ScaleCrop>false</ScaleCrop>
  <LinksUpToDate>false</LinksUpToDate>
  <CharactersWithSpaces>5123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2022-05-13T12:28:00Z</dcterms:created>
  <dc:creator>lxf86</dc:creator>
  <cp:lastModifiedBy>Administrator</cp:lastModifiedBy>
  <cp:lastPrinted>2022-08-04T02:02:00Z</cp:lastPrinted>
  <dcterms:modified xsi:type="dcterms:W3CDTF">2022-11-16T03:37:38Z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919C4C8B4F4A4714B63AD9B9805C838E</vt:lpwstr>
  </property>
</Properties>
</file>